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428B" w14:textId="77777777" w:rsidR="00A56ACC" w:rsidRPr="00921502" w:rsidRDefault="00417C4F" w:rsidP="00A56ACC">
      <w:pPr>
        <w:pStyle w:val="3"/>
        <w:keepNext w:val="0"/>
        <w:keepLines w:val="0"/>
        <w:spacing w:before="0" w:after="0"/>
        <w:ind w:left="0"/>
        <w:contextualSpacing/>
        <w:rPr>
          <w:b/>
          <w:bCs w:val="0"/>
          <w:sz w:val="21"/>
          <w:szCs w:val="21"/>
        </w:rPr>
      </w:pPr>
      <w:r w:rsidRPr="00921502">
        <w:rPr>
          <w:rFonts w:hint="eastAsia"/>
          <w:b/>
          <w:bCs w:val="0"/>
          <w:sz w:val="21"/>
          <w:szCs w:val="21"/>
        </w:rPr>
        <w:t>S</w:t>
      </w:r>
      <w:r w:rsidRPr="00921502">
        <w:rPr>
          <w:b/>
          <w:bCs w:val="0"/>
          <w:sz w:val="21"/>
          <w:szCs w:val="21"/>
        </w:rPr>
        <w:t>upplementary</w:t>
      </w:r>
      <w:r w:rsidRPr="00921502">
        <w:rPr>
          <w:rFonts w:hint="eastAsia"/>
          <w:b/>
          <w:bCs w:val="0"/>
          <w:sz w:val="21"/>
          <w:szCs w:val="21"/>
        </w:rPr>
        <w:t xml:space="preserve"> information</w:t>
      </w:r>
    </w:p>
    <w:p w14:paraId="1ACDAD5C" w14:textId="77777777" w:rsidR="00A56ACC" w:rsidRPr="00921502" w:rsidRDefault="00A56ACC" w:rsidP="00A56ACC">
      <w:pPr>
        <w:spacing w:line="360" w:lineRule="auto"/>
        <w:rPr>
          <w:bCs/>
          <w:sz w:val="21"/>
          <w:szCs w:val="21"/>
        </w:rPr>
      </w:pPr>
      <w:r w:rsidRPr="00921502">
        <w:rPr>
          <w:bCs/>
          <w:sz w:val="21"/>
          <w:szCs w:val="21"/>
        </w:rPr>
        <w:t xml:space="preserve">Table </w:t>
      </w:r>
      <w:r w:rsidRPr="00921502">
        <w:rPr>
          <w:rFonts w:hint="eastAsia"/>
          <w:bCs/>
          <w:sz w:val="21"/>
          <w:szCs w:val="21"/>
        </w:rPr>
        <w:t>S</w:t>
      </w:r>
      <w:r w:rsidRPr="00921502">
        <w:rPr>
          <w:bCs/>
          <w:sz w:val="21"/>
          <w:szCs w:val="21"/>
        </w:rPr>
        <w:t>1</w:t>
      </w:r>
      <w:r w:rsidRPr="00921502">
        <w:rPr>
          <w:rFonts w:hint="eastAsia"/>
          <w:bCs/>
          <w:sz w:val="21"/>
          <w:szCs w:val="21"/>
        </w:rPr>
        <w:t>.</w:t>
      </w:r>
      <w:r w:rsidRPr="00921502">
        <w:rPr>
          <w:bCs/>
          <w:sz w:val="21"/>
          <w:szCs w:val="21"/>
        </w:rPr>
        <w:t xml:space="preserve"> Nutrient status of top 0-20 </w:t>
      </w:r>
      <w:r w:rsidRPr="00921502">
        <w:rPr>
          <w:rFonts w:hint="eastAsia"/>
          <w:bCs/>
          <w:sz w:val="21"/>
          <w:szCs w:val="21"/>
        </w:rPr>
        <w:t>c</w:t>
      </w:r>
      <w:r w:rsidRPr="00921502">
        <w:rPr>
          <w:bCs/>
          <w:sz w:val="21"/>
          <w:szCs w:val="21"/>
        </w:rPr>
        <w:t>m soil before seeding in 2018-2019 and 2019-2020</w:t>
      </w:r>
      <w:r w:rsidRPr="00921502">
        <w:rPr>
          <w:rFonts w:hint="eastAsia"/>
          <w:bCs/>
          <w:sz w:val="21"/>
          <w:szCs w:val="21"/>
        </w:rPr>
        <w:t xml:space="preserve"> growing seasons.</w:t>
      </w:r>
    </w:p>
    <w:tbl>
      <w:tblPr>
        <w:tblW w:w="873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077"/>
        <w:gridCol w:w="1077"/>
        <w:gridCol w:w="1701"/>
        <w:gridCol w:w="1304"/>
        <w:gridCol w:w="1304"/>
      </w:tblGrid>
      <w:tr w:rsidR="00921502" w:rsidRPr="00921502" w14:paraId="2D3BC7BB" w14:textId="77777777" w:rsidTr="009E12C9">
        <w:trPr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0543F" w14:textId="77777777" w:rsidR="00A56ACC" w:rsidRPr="00921502" w:rsidRDefault="00A56ACC" w:rsidP="009E12C9">
            <w:pPr>
              <w:contextualSpacing/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Growing season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CED12" w14:textId="77777777" w:rsidR="00A56ACC" w:rsidRPr="00921502" w:rsidRDefault="00A56ACC" w:rsidP="009E12C9">
            <w:pPr>
              <w:contextualSpacing/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Bulk density</w:t>
            </w:r>
          </w:p>
          <w:p w14:paraId="2B8FB2DE" w14:textId="77777777" w:rsidR="00A56ACC" w:rsidRPr="00921502" w:rsidRDefault="00A56ACC" w:rsidP="009E12C9">
            <w:pPr>
              <w:contextualSpacing/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(g cm</w:t>
            </w:r>
            <w:r w:rsidRPr="00921502">
              <w:rPr>
                <w:sz w:val="18"/>
                <w:szCs w:val="18"/>
                <w:vertAlign w:val="superscript"/>
              </w:rPr>
              <w:t>–3</w:t>
            </w:r>
            <w:r w:rsidRPr="00921502">
              <w:rPr>
                <w:sz w:val="18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DB4A2" w14:textId="77777777" w:rsidR="00A56ACC" w:rsidRPr="00921502" w:rsidRDefault="00A56ACC" w:rsidP="009E12C9">
            <w:pPr>
              <w:contextualSpacing/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Organic matter</w:t>
            </w:r>
          </w:p>
          <w:p w14:paraId="6897775A" w14:textId="77777777" w:rsidR="00A56ACC" w:rsidRPr="00921502" w:rsidRDefault="00A56ACC" w:rsidP="009E12C9">
            <w:pPr>
              <w:contextualSpacing/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(g kg</w:t>
            </w:r>
            <w:r w:rsidRPr="00921502">
              <w:rPr>
                <w:sz w:val="18"/>
                <w:szCs w:val="18"/>
                <w:vertAlign w:val="superscript"/>
              </w:rPr>
              <w:t>–1</w:t>
            </w:r>
            <w:r w:rsidRPr="00921502">
              <w:rPr>
                <w:sz w:val="18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AA2FF" w14:textId="77777777" w:rsidR="00A56ACC" w:rsidRPr="00921502" w:rsidRDefault="00A56ACC" w:rsidP="009E12C9">
            <w:pPr>
              <w:contextualSpacing/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Total nitrogen (g kg</w:t>
            </w:r>
            <w:r w:rsidRPr="00921502">
              <w:rPr>
                <w:sz w:val="18"/>
                <w:szCs w:val="18"/>
                <w:vertAlign w:val="superscript"/>
              </w:rPr>
              <w:t>–1</w:t>
            </w:r>
            <w:r w:rsidRPr="00921502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BC850" w14:textId="77777777" w:rsidR="00A56ACC" w:rsidRPr="00921502" w:rsidRDefault="00A56ACC" w:rsidP="009E12C9">
            <w:pPr>
              <w:contextualSpacing/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Alkali-hydrolysable nitrogen</w:t>
            </w:r>
          </w:p>
          <w:p w14:paraId="1FA056F8" w14:textId="77777777" w:rsidR="00A56ACC" w:rsidRPr="00921502" w:rsidRDefault="00A56ACC" w:rsidP="009E12C9">
            <w:pPr>
              <w:contextualSpacing/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(mg kg</w:t>
            </w:r>
            <w:r w:rsidRPr="00921502">
              <w:rPr>
                <w:sz w:val="18"/>
                <w:szCs w:val="18"/>
                <w:vertAlign w:val="superscript"/>
              </w:rPr>
              <w:t>–1</w:t>
            </w:r>
            <w:r w:rsidRPr="00921502">
              <w:rPr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51A85" w14:textId="77777777" w:rsidR="00A56ACC" w:rsidRPr="00921502" w:rsidRDefault="00A56ACC" w:rsidP="009E12C9">
            <w:pPr>
              <w:contextualSpacing/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Available phosphorus</w:t>
            </w:r>
          </w:p>
          <w:p w14:paraId="41474386" w14:textId="77777777" w:rsidR="00A56ACC" w:rsidRPr="00921502" w:rsidRDefault="00A56ACC" w:rsidP="009E12C9">
            <w:pPr>
              <w:contextualSpacing/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(mg kg</w:t>
            </w:r>
            <w:r w:rsidRPr="00921502">
              <w:rPr>
                <w:sz w:val="18"/>
                <w:szCs w:val="18"/>
                <w:vertAlign w:val="superscript"/>
              </w:rPr>
              <w:t>–1</w:t>
            </w:r>
            <w:r w:rsidRPr="00921502">
              <w:rPr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63209" w14:textId="77777777" w:rsidR="00A56ACC" w:rsidRPr="00921502" w:rsidRDefault="00A56ACC" w:rsidP="009E12C9">
            <w:pPr>
              <w:contextualSpacing/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Available potassium</w:t>
            </w:r>
          </w:p>
          <w:p w14:paraId="30EA729D" w14:textId="77777777" w:rsidR="00A56ACC" w:rsidRPr="00921502" w:rsidRDefault="00A56ACC" w:rsidP="009E12C9">
            <w:pPr>
              <w:contextualSpacing/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(mg kg</w:t>
            </w:r>
            <w:r w:rsidRPr="00921502">
              <w:rPr>
                <w:sz w:val="18"/>
                <w:szCs w:val="18"/>
                <w:vertAlign w:val="superscript"/>
              </w:rPr>
              <w:t>–1</w:t>
            </w:r>
            <w:r w:rsidRPr="00921502">
              <w:rPr>
                <w:sz w:val="18"/>
                <w:szCs w:val="18"/>
              </w:rPr>
              <w:t>)</w:t>
            </w:r>
          </w:p>
        </w:tc>
      </w:tr>
      <w:tr w:rsidR="00921502" w:rsidRPr="00921502" w14:paraId="7C74A7CA" w14:textId="77777777" w:rsidTr="009E12C9">
        <w:trPr>
          <w:trHeight w:val="397"/>
          <w:jc w:val="center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96A0A7A" w14:textId="77777777" w:rsidR="00A56ACC" w:rsidRPr="00921502" w:rsidRDefault="00A56ACC" w:rsidP="009E12C9">
            <w:pPr>
              <w:contextualSpacing/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2018-2019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20D758" w14:textId="77777777" w:rsidR="00A56ACC" w:rsidRPr="00921502" w:rsidRDefault="00A56ACC" w:rsidP="009E12C9">
            <w:pPr>
              <w:contextualSpacing/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1.31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1AF20976" w14:textId="77777777" w:rsidR="00A56ACC" w:rsidRPr="00921502" w:rsidRDefault="00A56ACC" w:rsidP="009E12C9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17.80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5261BA13" w14:textId="77777777" w:rsidR="00A56ACC" w:rsidRPr="00921502" w:rsidRDefault="00A56ACC" w:rsidP="009E12C9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1.12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A2C4C50" w14:textId="77777777" w:rsidR="00A56ACC" w:rsidRPr="00921502" w:rsidRDefault="00A56ACC" w:rsidP="009E12C9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84.71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607851A2" w14:textId="77777777" w:rsidR="00A56ACC" w:rsidRPr="00921502" w:rsidRDefault="00A56ACC" w:rsidP="009E12C9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27.84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02E09304" w14:textId="77777777" w:rsidR="00A56ACC" w:rsidRPr="00921502" w:rsidRDefault="00A56ACC" w:rsidP="009E12C9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93.72</w:t>
            </w:r>
          </w:p>
        </w:tc>
      </w:tr>
      <w:tr w:rsidR="00A56ACC" w:rsidRPr="00921502" w14:paraId="352C816E" w14:textId="77777777" w:rsidTr="009E12C9">
        <w:trPr>
          <w:trHeight w:val="397"/>
          <w:jc w:val="center"/>
        </w:trPr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2255D817" w14:textId="77777777" w:rsidR="00A56ACC" w:rsidRPr="00921502" w:rsidRDefault="00A56ACC" w:rsidP="009E12C9">
            <w:pPr>
              <w:contextualSpacing/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2019-2020</w:t>
            </w:r>
          </w:p>
        </w:tc>
        <w:tc>
          <w:tcPr>
            <w:tcW w:w="1134" w:type="dxa"/>
            <w:vAlign w:val="center"/>
          </w:tcPr>
          <w:p w14:paraId="524F9D88" w14:textId="77777777" w:rsidR="00A56ACC" w:rsidRPr="00921502" w:rsidRDefault="00A56ACC" w:rsidP="009E12C9">
            <w:pPr>
              <w:contextualSpacing/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1.31</w:t>
            </w:r>
          </w:p>
        </w:tc>
        <w:tc>
          <w:tcPr>
            <w:tcW w:w="1077" w:type="dxa"/>
            <w:vAlign w:val="center"/>
          </w:tcPr>
          <w:p w14:paraId="535B4691" w14:textId="77777777" w:rsidR="00A56ACC" w:rsidRPr="00921502" w:rsidRDefault="00A56ACC" w:rsidP="009E12C9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16.41</w:t>
            </w:r>
          </w:p>
        </w:tc>
        <w:tc>
          <w:tcPr>
            <w:tcW w:w="1077" w:type="dxa"/>
            <w:vAlign w:val="center"/>
          </w:tcPr>
          <w:p w14:paraId="6FAF128C" w14:textId="77777777" w:rsidR="00A56ACC" w:rsidRPr="00921502" w:rsidRDefault="00A56ACC" w:rsidP="009E12C9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1.14</w:t>
            </w:r>
          </w:p>
        </w:tc>
        <w:tc>
          <w:tcPr>
            <w:tcW w:w="1701" w:type="dxa"/>
            <w:vAlign w:val="center"/>
          </w:tcPr>
          <w:p w14:paraId="2A6777F3" w14:textId="77777777" w:rsidR="00A56ACC" w:rsidRPr="00921502" w:rsidRDefault="00A56ACC" w:rsidP="009E12C9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74.60</w:t>
            </w:r>
          </w:p>
        </w:tc>
        <w:tc>
          <w:tcPr>
            <w:tcW w:w="1304" w:type="dxa"/>
            <w:vAlign w:val="center"/>
          </w:tcPr>
          <w:p w14:paraId="5E717F1D" w14:textId="77777777" w:rsidR="00A56ACC" w:rsidRPr="00921502" w:rsidRDefault="00A56ACC" w:rsidP="009E12C9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30.86</w:t>
            </w:r>
          </w:p>
        </w:tc>
        <w:tc>
          <w:tcPr>
            <w:tcW w:w="1304" w:type="dxa"/>
            <w:vAlign w:val="center"/>
          </w:tcPr>
          <w:p w14:paraId="43267392" w14:textId="77777777" w:rsidR="00A56ACC" w:rsidRPr="00921502" w:rsidRDefault="00A56ACC" w:rsidP="009E12C9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81.61</w:t>
            </w:r>
          </w:p>
        </w:tc>
      </w:tr>
    </w:tbl>
    <w:p w14:paraId="076E2731" w14:textId="77777777" w:rsidR="00A56ACC" w:rsidRPr="00921502" w:rsidRDefault="00A56ACC" w:rsidP="00862DDB">
      <w:pPr>
        <w:pStyle w:val="3"/>
        <w:keepNext w:val="0"/>
        <w:keepLines w:val="0"/>
        <w:spacing w:before="0" w:after="0"/>
        <w:ind w:left="0"/>
        <w:contextualSpacing/>
        <w:rPr>
          <w:b/>
          <w:bCs w:val="0"/>
          <w:sz w:val="21"/>
          <w:szCs w:val="21"/>
        </w:rPr>
      </w:pPr>
    </w:p>
    <w:p w14:paraId="27E22831" w14:textId="77777777" w:rsidR="00A56ACC" w:rsidRPr="00921502" w:rsidRDefault="00A56ACC">
      <w:pPr>
        <w:rPr>
          <w:rFonts w:eastAsia="SimHei"/>
          <w:b/>
          <w:sz w:val="21"/>
          <w:szCs w:val="21"/>
        </w:rPr>
      </w:pPr>
      <w:r w:rsidRPr="00921502">
        <w:rPr>
          <w:b/>
          <w:bCs/>
          <w:sz w:val="21"/>
          <w:szCs w:val="21"/>
        </w:rPr>
        <w:br w:type="page"/>
      </w:r>
    </w:p>
    <w:p w14:paraId="2A2CABC8" w14:textId="77777777" w:rsidR="000E1415" w:rsidRPr="00921502" w:rsidRDefault="000E1415" w:rsidP="000E1415">
      <w:pPr>
        <w:spacing w:line="360" w:lineRule="auto"/>
      </w:pPr>
      <w:r w:rsidRPr="00921502">
        <w:lastRenderedPageBreak/>
        <w:t>Table S</w:t>
      </w:r>
      <w:r w:rsidR="00A56ACC" w:rsidRPr="00921502">
        <w:rPr>
          <w:rFonts w:hint="eastAsia"/>
        </w:rPr>
        <w:t>2</w:t>
      </w:r>
      <w:r w:rsidRPr="00921502">
        <w:t>. Analysis of variance of grain yield, dry matter (DM) at anthesis, DM at maturity, and harvest index (HI) according to growing season, cultivar, sowing pattern, and their interactions.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220"/>
        <w:gridCol w:w="1332"/>
        <w:gridCol w:w="1798"/>
        <w:gridCol w:w="1841"/>
        <w:gridCol w:w="1331"/>
      </w:tblGrid>
      <w:tr w:rsidR="00921502" w:rsidRPr="00921502" w14:paraId="3F81F694" w14:textId="77777777" w:rsidTr="00AC0FB2">
        <w:trPr>
          <w:trHeight w:val="397"/>
          <w:jc w:val="center"/>
        </w:trPr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6D22E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Factor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9DCDD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Grain yield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B064A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DM at anthesis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D3667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DM at maturity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CC803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HI</w:t>
            </w:r>
          </w:p>
        </w:tc>
      </w:tr>
      <w:tr w:rsidR="00921502" w:rsidRPr="00921502" w14:paraId="78B57F41" w14:textId="77777777" w:rsidTr="00AC0FB2">
        <w:trPr>
          <w:trHeight w:val="300"/>
          <w:jc w:val="center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5D49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Growing season (S)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AB57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16.32***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D8C8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902.80***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68FF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545.28***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BE41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501.29***</w:t>
            </w:r>
          </w:p>
        </w:tc>
      </w:tr>
      <w:tr w:rsidR="00921502" w:rsidRPr="00921502" w14:paraId="07B801B3" w14:textId="77777777" w:rsidTr="00AC0FB2">
        <w:trPr>
          <w:trHeight w:val="300"/>
          <w:jc w:val="center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D0EE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Cultivar (C)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1F17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201.58***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8D06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12.12***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E697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46.76***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E64E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20.46***</w:t>
            </w:r>
          </w:p>
        </w:tc>
      </w:tr>
      <w:tr w:rsidR="00921502" w:rsidRPr="00921502" w14:paraId="56157406" w14:textId="77777777" w:rsidTr="00AC0FB2">
        <w:trPr>
          <w:trHeight w:val="300"/>
          <w:jc w:val="center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EED2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Sowing pattern (P)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B861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514.50***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6ACE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189.12***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4D8F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307.22***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3001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0.10</w:t>
            </w:r>
          </w:p>
        </w:tc>
      </w:tr>
      <w:tr w:rsidR="00921502" w:rsidRPr="00921502" w14:paraId="2D81EF18" w14:textId="77777777" w:rsidTr="00AC0FB2">
        <w:trPr>
          <w:trHeight w:val="300"/>
          <w:jc w:val="center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E5F8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S × C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221F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69.52***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06F5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16.35***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BD0B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34.62***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393F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26.77***</w:t>
            </w:r>
          </w:p>
        </w:tc>
      </w:tr>
      <w:tr w:rsidR="00921502" w:rsidRPr="00921502" w14:paraId="18418F11" w14:textId="77777777" w:rsidTr="00AC0FB2">
        <w:trPr>
          <w:trHeight w:val="300"/>
          <w:jc w:val="center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30F3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S × P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D42F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1.96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FD4B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6.31*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0781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2.74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B103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1.67</w:t>
            </w:r>
          </w:p>
        </w:tc>
      </w:tr>
      <w:tr w:rsidR="00921502" w:rsidRPr="00921502" w14:paraId="41319A17" w14:textId="77777777" w:rsidTr="00AC0FB2">
        <w:trPr>
          <w:trHeight w:val="300"/>
          <w:jc w:val="center"/>
        </w:trPr>
        <w:tc>
          <w:tcPr>
            <w:tcW w:w="1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43E3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C × P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2498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6.95**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BFD9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3.03*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BF80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3.96*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58E9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1.21</w:t>
            </w:r>
          </w:p>
        </w:tc>
      </w:tr>
      <w:tr w:rsidR="00921502" w:rsidRPr="00921502" w14:paraId="010AA977" w14:textId="77777777" w:rsidTr="00AC0FB2">
        <w:trPr>
          <w:trHeight w:val="300"/>
          <w:jc w:val="center"/>
        </w:trPr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14E15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S × C × P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D3A6C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5.95**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6FCF4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 xml:space="preserve">0.69 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2ED90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1.26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08DC0" w14:textId="77777777" w:rsidR="000E1415" w:rsidRPr="00921502" w:rsidRDefault="000E1415" w:rsidP="00AC0FB2">
            <w:pPr>
              <w:jc w:val="center"/>
              <w:rPr>
                <w:sz w:val="18"/>
                <w:szCs w:val="18"/>
              </w:rPr>
            </w:pPr>
            <w:r w:rsidRPr="00921502">
              <w:rPr>
                <w:sz w:val="18"/>
                <w:szCs w:val="18"/>
              </w:rPr>
              <w:t>0.08</w:t>
            </w:r>
          </w:p>
        </w:tc>
      </w:tr>
    </w:tbl>
    <w:p w14:paraId="1113DBE0" w14:textId="77777777" w:rsidR="005423C7" w:rsidRPr="00921502" w:rsidRDefault="000E1415" w:rsidP="000E1415">
      <w:pPr>
        <w:spacing w:line="360" w:lineRule="auto"/>
      </w:pPr>
      <w:r w:rsidRPr="00921502">
        <w:t>*, **, and *** indicate significance at the 0.05, 0.01, and 0.001 probability levels, respectively.</w:t>
      </w:r>
    </w:p>
    <w:p w14:paraId="41E6E935" w14:textId="77777777" w:rsidR="005423C7" w:rsidRPr="00921502" w:rsidRDefault="005423C7">
      <w:r w:rsidRPr="00921502">
        <w:br w:type="page"/>
      </w:r>
    </w:p>
    <w:p w14:paraId="528D6A83" w14:textId="77777777" w:rsidR="000E1415" w:rsidRPr="00921502" w:rsidRDefault="000E1415" w:rsidP="000E1415">
      <w:pPr>
        <w:spacing w:line="360" w:lineRule="auto"/>
      </w:pPr>
    </w:p>
    <w:p w14:paraId="163BF411" w14:textId="77777777" w:rsidR="000E1415" w:rsidRPr="00921502" w:rsidRDefault="000E1415" w:rsidP="000E1415">
      <w:pPr>
        <w:spacing w:line="360" w:lineRule="auto"/>
        <w:contextualSpacing/>
        <w:jc w:val="both"/>
        <w:rPr>
          <w:sz w:val="21"/>
          <w:szCs w:val="21"/>
        </w:rPr>
      </w:pPr>
      <w:r w:rsidRPr="00921502">
        <w:rPr>
          <w:sz w:val="21"/>
          <w:szCs w:val="21"/>
        </w:rPr>
        <w:object w:dxaOrig="10230" w:dyaOrig="8295" w14:anchorId="3CE2BE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2pt;height:349.5pt" o:ole="">
            <v:imagedata r:id="rId6" o:title=""/>
          </v:shape>
          <o:OLEObject Type="Embed" ProgID="SigmaPlotGraphicObject.11" ShapeID="_x0000_i1025" DrawAspect="Content" ObjectID="_1720608733" r:id="rId7"/>
        </w:object>
      </w:r>
    </w:p>
    <w:p w14:paraId="150EE6CD" w14:textId="77777777" w:rsidR="000E1415" w:rsidRPr="00921502" w:rsidRDefault="000E1415" w:rsidP="000E1415">
      <w:pPr>
        <w:spacing w:line="360" w:lineRule="auto"/>
        <w:contextualSpacing/>
        <w:jc w:val="both"/>
        <w:rPr>
          <w:sz w:val="21"/>
          <w:szCs w:val="21"/>
        </w:rPr>
      </w:pPr>
      <w:r w:rsidRPr="00921502">
        <w:rPr>
          <w:sz w:val="21"/>
          <w:szCs w:val="21"/>
        </w:rPr>
        <w:t>F</w:t>
      </w:r>
      <w:r w:rsidRPr="00921502">
        <w:rPr>
          <w:bCs/>
          <w:sz w:val="21"/>
          <w:szCs w:val="21"/>
        </w:rPr>
        <w:t>ig. S1 Effects of sowing pattern on dry matter accumulation at anthesis and maturity of bread wheat.</w:t>
      </w:r>
      <w:r w:rsidRPr="00921502">
        <w:t xml:space="preserve"> </w:t>
      </w:r>
      <w:r w:rsidRPr="00921502">
        <w:rPr>
          <w:bCs/>
          <w:sz w:val="21"/>
          <w:szCs w:val="21"/>
        </w:rPr>
        <w:t xml:space="preserve">Values are means of three replicates per treatment. Vertical bars indicate standard error. Different letters with the same season and cultivar indicate significant differences at </w:t>
      </w:r>
      <w:r w:rsidRPr="00921502">
        <w:rPr>
          <w:bCs/>
          <w:i/>
          <w:sz w:val="21"/>
          <w:szCs w:val="21"/>
        </w:rPr>
        <w:t>P</w:t>
      </w:r>
      <w:r w:rsidRPr="00921502">
        <w:rPr>
          <w:bCs/>
          <w:sz w:val="21"/>
          <w:szCs w:val="21"/>
        </w:rPr>
        <w:t xml:space="preserve"> &lt; 0.05, as determined by the LSD test. CD and WB denote the conventional drilling and wide belt sowing pattern, respectively.</w:t>
      </w:r>
    </w:p>
    <w:p w14:paraId="77B909E8" w14:textId="77777777" w:rsidR="000E1415" w:rsidRPr="00921502" w:rsidRDefault="000E1415" w:rsidP="000E1415">
      <w:pPr>
        <w:pStyle w:val="3"/>
        <w:keepNext w:val="0"/>
        <w:keepLines w:val="0"/>
        <w:spacing w:before="0" w:after="0"/>
        <w:ind w:left="0"/>
        <w:contextualSpacing/>
        <w:outlineLvl w:val="9"/>
        <w:rPr>
          <w:bCs w:val="0"/>
          <w:sz w:val="21"/>
          <w:szCs w:val="21"/>
        </w:rPr>
      </w:pPr>
    </w:p>
    <w:p w14:paraId="10BDF568" w14:textId="77777777" w:rsidR="000E1415" w:rsidRPr="00921502" w:rsidRDefault="000E1415" w:rsidP="000E1415">
      <w:pPr>
        <w:spacing w:line="360" w:lineRule="auto"/>
        <w:contextualSpacing/>
        <w:jc w:val="both"/>
        <w:rPr>
          <w:sz w:val="21"/>
          <w:szCs w:val="21"/>
        </w:rPr>
      </w:pPr>
      <w:r w:rsidRPr="00921502">
        <w:rPr>
          <w:sz w:val="21"/>
          <w:szCs w:val="21"/>
        </w:rPr>
        <w:object w:dxaOrig="10050" w:dyaOrig="4665" w14:anchorId="61B5CA3E">
          <v:shape id="_x0000_i1026" type="#_x0000_t75" style="width:435.3pt;height:202.15pt" o:ole="">
            <v:imagedata r:id="rId8" o:title=""/>
          </v:shape>
          <o:OLEObject Type="Embed" ProgID="SigmaPlotGraphicObject.11" ShapeID="_x0000_i1026" DrawAspect="Content" ObjectID="_1720608734" r:id="rId9"/>
        </w:object>
      </w:r>
    </w:p>
    <w:p w14:paraId="627C4E74" w14:textId="77777777" w:rsidR="000E1415" w:rsidRPr="00921502" w:rsidRDefault="000E1415" w:rsidP="000E1415">
      <w:pPr>
        <w:spacing w:line="360" w:lineRule="auto"/>
        <w:contextualSpacing/>
        <w:jc w:val="both"/>
        <w:rPr>
          <w:sz w:val="21"/>
          <w:szCs w:val="21"/>
        </w:rPr>
      </w:pPr>
      <w:r w:rsidRPr="00921502">
        <w:rPr>
          <w:bCs/>
          <w:sz w:val="21"/>
          <w:szCs w:val="21"/>
        </w:rPr>
        <w:t>Fig. S2 Effects of sowing pattern on the harvest index of bread wheat.</w:t>
      </w:r>
      <w:r w:rsidRPr="00921502">
        <w:rPr>
          <w:sz w:val="21"/>
          <w:szCs w:val="21"/>
        </w:rPr>
        <w:t xml:space="preserve"> </w:t>
      </w:r>
      <w:r w:rsidRPr="00921502">
        <w:rPr>
          <w:bCs/>
          <w:sz w:val="21"/>
          <w:szCs w:val="21"/>
        </w:rPr>
        <w:t xml:space="preserve">Values are means of three replicates per treatment. Vertical bars indicate standard error. Different letters with the same season and cultivar indicate significant differences at </w:t>
      </w:r>
      <w:r w:rsidRPr="00921502">
        <w:rPr>
          <w:bCs/>
          <w:i/>
          <w:sz w:val="21"/>
          <w:szCs w:val="21"/>
        </w:rPr>
        <w:t>P</w:t>
      </w:r>
      <w:r w:rsidRPr="00921502">
        <w:rPr>
          <w:bCs/>
          <w:sz w:val="21"/>
          <w:szCs w:val="21"/>
        </w:rPr>
        <w:t xml:space="preserve"> &lt; 0.05, as determined by the LSD test. CD and WB denote the conventional drilling and wide belt sowing pattern, respectively.</w:t>
      </w:r>
    </w:p>
    <w:p w14:paraId="55DA9068" w14:textId="77777777" w:rsidR="00417C4F" w:rsidRPr="00921502" w:rsidRDefault="00417C4F" w:rsidP="000E1415">
      <w:pPr>
        <w:spacing w:line="360" w:lineRule="auto"/>
      </w:pPr>
    </w:p>
    <w:sectPr w:rsidR="00417C4F" w:rsidRPr="00921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121D3" w14:textId="77777777" w:rsidR="00FC053F" w:rsidRDefault="00FC053F" w:rsidP="00417C4F">
      <w:r>
        <w:separator/>
      </w:r>
    </w:p>
  </w:endnote>
  <w:endnote w:type="continuationSeparator" w:id="0">
    <w:p w14:paraId="3524716E" w14:textId="77777777" w:rsidR="00FC053F" w:rsidRDefault="00FC053F" w:rsidP="0041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66E6" w14:textId="77777777" w:rsidR="00FC053F" w:rsidRDefault="00FC053F" w:rsidP="00417C4F">
      <w:r>
        <w:separator/>
      </w:r>
    </w:p>
  </w:footnote>
  <w:footnote w:type="continuationSeparator" w:id="0">
    <w:p w14:paraId="7D72D16E" w14:textId="77777777" w:rsidR="00FC053F" w:rsidRDefault="00FC053F" w:rsidP="00417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5FF"/>
    <w:rsid w:val="000E1415"/>
    <w:rsid w:val="001177C3"/>
    <w:rsid w:val="00124755"/>
    <w:rsid w:val="003C5340"/>
    <w:rsid w:val="00417C4F"/>
    <w:rsid w:val="004A43C3"/>
    <w:rsid w:val="004C6D56"/>
    <w:rsid w:val="005423C7"/>
    <w:rsid w:val="005869F8"/>
    <w:rsid w:val="006225FF"/>
    <w:rsid w:val="006F5194"/>
    <w:rsid w:val="007623F2"/>
    <w:rsid w:val="00786A5F"/>
    <w:rsid w:val="00862DDB"/>
    <w:rsid w:val="00901F36"/>
    <w:rsid w:val="00921502"/>
    <w:rsid w:val="00924520"/>
    <w:rsid w:val="009656D2"/>
    <w:rsid w:val="00A56ACC"/>
    <w:rsid w:val="00B272D5"/>
    <w:rsid w:val="00BC72FE"/>
    <w:rsid w:val="00D23583"/>
    <w:rsid w:val="00F0494B"/>
    <w:rsid w:val="00FC053F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09BBB"/>
  <w15:docId w15:val="{839F4EF7-952E-4F04-985C-E806AD63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C4F"/>
    <w:rPr>
      <w:rFonts w:ascii="Times New Roman" w:eastAsia="SimSun" w:hAnsi="Times New Roman" w:cs="Times New Roman"/>
      <w:kern w:val="0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C4F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C4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17C4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17C4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17C4F"/>
    <w:rPr>
      <w:sz w:val="18"/>
      <w:szCs w:val="18"/>
    </w:rPr>
  </w:style>
  <w:style w:type="paragraph" w:customStyle="1" w:styleId="3">
    <w:name w:val="标题3"/>
    <w:basedOn w:val="Heading3"/>
    <w:link w:val="3Char"/>
    <w:qFormat/>
    <w:rsid w:val="00417C4F"/>
    <w:pPr>
      <w:widowControl/>
      <w:overflowPunct w:val="0"/>
      <w:spacing w:line="360" w:lineRule="auto"/>
      <w:ind w:left="408"/>
      <w:jc w:val="left"/>
    </w:pPr>
    <w:rPr>
      <w:rFonts w:ascii="Times New Roman" w:eastAsia="SimHei" w:hAnsi="Times New Roman" w:cs="Times New Roman"/>
      <w:b w:val="0"/>
      <w:kern w:val="0"/>
      <w:sz w:val="24"/>
      <w:szCs w:val="24"/>
    </w:rPr>
  </w:style>
  <w:style w:type="character" w:customStyle="1" w:styleId="3Char">
    <w:name w:val="标题3 Char"/>
    <w:basedOn w:val="DefaultParagraphFont"/>
    <w:link w:val="3"/>
    <w:rsid w:val="00417C4F"/>
    <w:rPr>
      <w:rFonts w:ascii="Times New Roman" w:eastAsia="SimHei" w:hAnsi="Times New Roman" w:cs="Times New Roman"/>
      <w:bCs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C4F"/>
    <w:rPr>
      <w:b/>
      <w:bCs/>
      <w:sz w:val="32"/>
      <w:szCs w:val="32"/>
    </w:rPr>
  </w:style>
  <w:style w:type="paragraph" w:customStyle="1" w:styleId="2">
    <w:name w:val="样式2"/>
    <w:rsid w:val="00A56ACC"/>
    <w:pPr>
      <w:snapToGrid w:val="0"/>
      <w:ind w:left="454" w:right="454"/>
      <w:jc w:val="both"/>
    </w:pPr>
    <w:rPr>
      <w:rFonts w:ascii="Times New Roman" w:eastAsia="方正仿宋简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4</Pages>
  <Words>287</Words>
  <Characters>1639</Characters>
  <Application>Microsoft Office Word</Application>
  <DocSecurity>0</DocSecurity>
  <Lines>13</Lines>
  <Paragraphs>3</Paragraphs>
  <ScaleCrop>false</ScaleCrop>
  <Company>微软中国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India Humphreys</cp:lastModifiedBy>
  <cp:revision>16</cp:revision>
  <dcterms:created xsi:type="dcterms:W3CDTF">2022-07-01T03:13:00Z</dcterms:created>
  <dcterms:modified xsi:type="dcterms:W3CDTF">2022-07-29T13:06:00Z</dcterms:modified>
</cp:coreProperties>
</file>