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rPr>
          <w:b w:val="0"/>
        </w:rPr>
      </w:pPr>
      <w:r>
        <w:t>Supplementary Material</w:t>
      </w:r>
    </w:p>
    <w:p>
      <w:pPr>
        <w:pStyle w:val="2"/>
        <w:numPr>
          <w:ilvl w:val="0"/>
          <w:numId w:val="0"/>
        </w:numPr>
        <w:ind w:leftChars="0"/>
      </w:pPr>
    </w:p>
    <w:p>
      <w:pPr>
        <w:keepNext/>
        <w:rPr>
          <w:rFonts w:cs="Times New Roman"/>
          <w:szCs w:val="24"/>
        </w:rPr>
      </w:pPr>
    </w:p>
    <w:p>
      <w:pPr>
        <w:keepNext/>
        <w:jc w:val="center"/>
        <w:rPr>
          <w:rFonts w:cs="Times New Roman"/>
          <w:szCs w:val="24"/>
        </w:rPr>
      </w:pPr>
      <w:r>
        <w:rPr>
          <w:highlight w:val="none"/>
        </w:rPr>
        <w:drawing>
          <wp:inline distT="0" distB="0" distL="114300" distR="114300">
            <wp:extent cx="5270500" cy="2665730"/>
            <wp:effectExtent l="0" t="0" r="12700" b="12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0"/>
                    <a:stretch>
                      <a:fillRect/>
                    </a:stretch>
                  </pic:blipFill>
                  <pic:spPr>
                    <a:xfrm>
                      <a:off x="0" y="0"/>
                      <a:ext cx="5270500" cy="266573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textAlignment w:val="auto"/>
        <w:rPr>
          <w:rFonts w:cs="Times New Roman"/>
          <w:b/>
          <w:szCs w:val="24"/>
        </w:rPr>
      </w:pPr>
      <w:r>
        <w:rPr>
          <w:rFonts w:cs="Times New Roman"/>
          <w:b/>
          <w:szCs w:val="24"/>
        </w:rPr>
        <w:t xml:space="preserve"> Figure </w:t>
      </w:r>
      <w:r>
        <w:rPr>
          <w:rFonts w:hint="default" w:cs="Times New Roman"/>
          <w:b/>
          <w:szCs w:val="24"/>
        </w:rPr>
        <w:t>S</w:t>
      </w:r>
      <w:r>
        <w:rPr>
          <w:rFonts w:cs="Times New Roman"/>
          <w:b/>
          <w:szCs w:val="24"/>
        </w:rPr>
        <w:fldChar w:fldCharType="begin"/>
      </w:r>
      <w:r>
        <w:rPr>
          <w:rFonts w:cs="Times New Roman"/>
          <w:b/>
          <w:szCs w:val="24"/>
        </w:rPr>
        <w:instrText xml:space="preserve"> SEQ Figure \* ARABIC </w:instrText>
      </w:r>
      <w:r>
        <w:rPr>
          <w:rFonts w:cs="Times New Roman"/>
          <w:b/>
          <w:szCs w:val="24"/>
        </w:rPr>
        <w:fldChar w:fldCharType="separate"/>
      </w:r>
      <w:r>
        <w:rPr>
          <w:rFonts w:cs="Times New Roman"/>
          <w:b/>
          <w:szCs w:val="24"/>
        </w:rPr>
        <w:t>1</w:t>
      </w:r>
      <w:r>
        <w:rPr>
          <w:rFonts w:cs="Times New Roman"/>
          <w:b/>
          <w:szCs w:val="24"/>
        </w:rPr>
        <w:fldChar w:fldCharType="end"/>
      </w:r>
      <w:r>
        <w:rPr>
          <w:rFonts w:cs="Times New Roman"/>
          <w:b/>
          <w:szCs w:val="24"/>
        </w:rPr>
        <w:t>.</w:t>
      </w:r>
      <w:r>
        <w:rPr>
          <w:rFonts w:cs="Times New Roman"/>
          <w:szCs w:val="24"/>
        </w:rPr>
        <w:t xml:space="preserve"> </w:t>
      </w:r>
      <w:r>
        <w:rPr>
          <w:rFonts w:hint="eastAsia" w:cs="Times New Roman"/>
          <w:szCs w:val="24"/>
        </w:rPr>
        <w:t>GO annotation distributions for Diquat degradation-related genes. The horizontal axis corresponds to the secondary GO classification, while the vertical axis denotes the number of genes in that classification (right) and its percentage relative to the total number of annotated genes (left). Different colors represent different orthologs.</w:t>
      </w:r>
      <w:r>
        <w:rPr>
          <w:rFonts w:cs="Times New Roman"/>
          <w:szCs w:val="24"/>
        </w:rPr>
        <w:t xml:space="preserve"> </w:t>
      </w:r>
    </w:p>
    <w:p>
      <w:pPr>
        <w:keepNext/>
        <w:jc w:val="center"/>
        <w:rPr>
          <w:rFonts w:cs="Times New Roman"/>
          <w:szCs w:val="24"/>
        </w:rPr>
      </w:pPr>
      <w:r>
        <w:rPr>
          <w:highlight w:val="none"/>
        </w:rPr>
        <w:drawing>
          <wp:inline distT="0" distB="0" distL="114300" distR="114300">
            <wp:extent cx="5269865" cy="2447290"/>
            <wp:effectExtent l="0" t="0" r="13335" b="1651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1"/>
                    <a:stretch>
                      <a:fillRect/>
                    </a:stretch>
                  </pic:blipFill>
                  <pic:spPr>
                    <a:xfrm>
                      <a:off x="0" y="0"/>
                      <a:ext cx="5269865" cy="2447290"/>
                    </a:xfrm>
                    <a:prstGeom prst="rect">
                      <a:avLst/>
                    </a:prstGeom>
                    <a:noFill/>
                    <a:ln w="9525">
                      <a:noFill/>
                    </a:ln>
                  </pic:spPr>
                </pic:pic>
              </a:graphicData>
            </a:graphic>
          </wp:inline>
        </w:drawing>
      </w:r>
    </w:p>
    <w:p>
      <w:pPr>
        <w:keepNext/>
        <w:rPr>
          <w:rFonts w:cs="Times New Roman"/>
          <w:szCs w:val="24"/>
        </w:rPr>
      </w:pPr>
      <w:r>
        <w:rPr>
          <w:rFonts w:cs="Times New Roman"/>
          <w:b/>
          <w:szCs w:val="24"/>
        </w:rPr>
        <w:t xml:space="preserve">Figure </w:t>
      </w:r>
      <w:r>
        <w:rPr>
          <w:rFonts w:hint="default" w:cs="Times New Roman"/>
          <w:b/>
          <w:szCs w:val="24"/>
        </w:rPr>
        <w:t>S2</w:t>
      </w:r>
      <w:r>
        <w:rPr>
          <w:rFonts w:cs="Times New Roman"/>
          <w:b/>
          <w:szCs w:val="24"/>
        </w:rPr>
        <w:t>.</w:t>
      </w:r>
      <w:r>
        <w:rPr>
          <w:rFonts w:cs="Times New Roman"/>
          <w:szCs w:val="24"/>
        </w:rPr>
        <w:t xml:space="preserve"> </w:t>
      </w:r>
      <w:r>
        <w:rPr>
          <w:rFonts w:hint="eastAsia" w:cs="Times New Roman"/>
          <w:szCs w:val="24"/>
        </w:rPr>
        <w:t>KOG classification histogram. Each color on the horizontal axis represents the functional classification of a KOG, as annotated in the legend on the right. The vertical axis corresponds to the number of genes annotated to this category.</w:t>
      </w:r>
      <w:r>
        <w:rPr>
          <w:rFonts w:cs="Times New Roman"/>
          <w:szCs w:val="24"/>
        </w:rPr>
        <w:t xml:space="preserve"> </w:t>
      </w:r>
    </w:p>
    <w:p>
      <w:pPr>
        <w:keepNext/>
        <w:rPr>
          <w:rFonts w:cs="Times New Roman"/>
          <w:szCs w:val="24"/>
        </w:rPr>
      </w:pPr>
    </w:p>
    <w:p>
      <w:pPr>
        <w:keepNext/>
        <w:rPr>
          <w:rFonts w:cs="Times New Roman"/>
          <w:szCs w:val="24"/>
        </w:rPr>
      </w:pPr>
    </w:p>
    <w:p>
      <w:pPr>
        <w:keepNext/>
        <w:rPr>
          <w:rFonts w:cs="Times New Roman"/>
          <w:szCs w:val="24"/>
        </w:rPr>
      </w:pPr>
      <w:bookmarkStart w:id="0" w:name="_GoBack"/>
      <w:bookmarkEnd w:id="0"/>
    </w:p>
    <w:p>
      <w:pPr>
        <w:keepNext/>
        <w:jc w:val="center"/>
        <w:rPr>
          <w:rFonts w:cs="Times New Roman"/>
          <w:szCs w:val="24"/>
        </w:rPr>
      </w:pPr>
    </w:p>
    <w:p>
      <w:pPr>
        <w:keepNext/>
        <w:jc w:val="center"/>
        <w:rPr>
          <w:rFonts w:cs="Times New Roman"/>
          <w:szCs w:val="24"/>
        </w:rPr>
      </w:pPr>
      <w:r>
        <w:rPr>
          <w:highlight w:val="none"/>
        </w:rPr>
        <w:drawing>
          <wp:inline distT="0" distB="0" distL="114300" distR="114300">
            <wp:extent cx="5273675" cy="4193540"/>
            <wp:effectExtent l="0" t="0" r="9525" b="2286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2"/>
                    <a:stretch>
                      <a:fillRect/>
                    </a:stretch>
                  </pic:blipFill>
                  <pic:spPr>
                    <a:xfrm>
                      <a:off x="0" y="0"/>
                      <a:ext cx="5273675" cy="4193540"/>
                    </a:xfrm>
                    <a:prstGeom prst="rect">
                      <a:avLst/>
                    </a:prstGeom>
                    <a:noFill/>
                    <a:ln w="9525">
                      <a:noFill/>
                    </a:ln>
                  </pic:spPr>
                </pic:pic>
              </a:graphicData>
            </a:graphic>
          </wp:inline>
        </w:drawing>
      </w:r>
    </w:p>
    <w:p>
      <w:pPr>
        <w:keepNext/>
        <w:rPr>
          <w:rFonts w:cs="Times New Roman"/>
          <w:b/>
          <w:szCs w:val="24"/>
        </w:rPr>
      </w:pPr>
      <w:r>
        <w:rPr>
          <w:rFonts w:cs="Times New Roman"/>
          <w:b/>
          <w:szCs w:val="24"/>
        </w:rPr>
        <w:t xml:space="preserve">Figure </w:t>
      </w:r>
      <w:r>
        <w:rPr>
          <w:rFonts w:hint="default" w:cs="Times New Roman"/>
          <w:b/>
          <w:szCs w:val="24"/>
        </w:rPr>
        <w:t>S3</w:t>
      </w:r>
      <w:r>
        <w:rPr>
          <w:rFonts w:cs="Times New Roman"/>
          <w:b/>
          <w:szCs w:val="24"/>
        </w:rPr>
        <w:t>.</w:t>
      </w:r>
      <w:r>
        <w:rPr>
          <w:rFonts w:cs="Times New Roman"/>
          <w:szCs w:val="24"/>
        </w:rPr>
        <w:t xml:space="preserve"> </w:t>
      </w:r>
      <w:r>
        <w:rPr>
          <w:rFonts w:hint="eastAsia" w:cs="Times New Roman"/>
          <w:szCs w:val="24"/>
        </w:rPr>
        <w:t>KEGG Pathway classification histogram. The horizontal axis denotes the specific KEGG pathway, while the vertical axis indicates the number of genes annotated to the pathway.</w:t>
      </w:r>
      <w:r>
        <w:rPr>
          <w:rFonts w:cs="Times New Roman"/>
          <w:szCs w:val="24"/>
        </w:rPr>
        <w:t xml:space="preserve"> </w:t>
      </w:r>
    </w:p>
    <w:p>
      <w:pPr>
        <w:keepNext/>
        <w:jc w:val="center"/>
        <w:rPr>
          <w:rFonts w:cs="Times New Roman"/>
          <w:szCs w:val="24"/>
        </w:rPr>
      </w:pPr>
    </w:p>
    <w:p>
      <w:pPr>
        <w:spacing w:before="240"/>
      </w:pPr>
    </w:p>
    <w:sectPr>
      <w:headerReference r:id="rId6" w:type="first"/>
      <w:footerReference r:id="rId7" w:type="default"/>
      <w:headerReference r:id="rId5" w:type="even"/>
      <w:footerReference r:id="rId8" w:type="even"/>
      <w:pgSz w:w="12240" w:h="15840"/>
      <w:pgMar w:top="1138" w:right="1181" w:bottom="1138" w:left="1282"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2000000" w:usb3="00000000" w:csb0="0000019F" w:csb1="00000000"/>
  </w:font>
  <w:font w:name="苹方-简">
    <w:panose1 w:val="020B0400000000000000"/>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CharisSIL">
    <w:altName w:val="苹方-简"/>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TFdEItIAAAAEAQAADwAAAAAAAAABACAAAAA4&#10;AAAAZHJzL2Rvd25yZXYueG1sUEsBAhQAFAAAAAgAh07iQEQHADgzAgAAdQQAAA4AAAAAAAAAAQAg&#10;AAAANwEAAGRycy9lMm9Eb2MueG1sUEsFBgAAAAAGAAYAWQEAANw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ExXRCLSAAAABAEAAA8AAAAAAAAAAQAgAAAAOAAA&#10;AGRycy9kb3ducmV2LnhtbFBLAQIUABQAAAAIAIdO4kBbEdXxMQIAAHMEAAAOAAAAAAAAAAEAIAAA&#10;ADcBAABkcnMvZTJvRG9jLnhtbFBLBQYAAAAABgAGAFkBAADaBQ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3"/>
  <w:attachedTemplate r:id="rId1"/>
  <w:documentProtection w:enforcement="0"/>
  <w:defaultTabStop w:val="7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 w:val="3E9FD082"/>
    <w:rsid w:val="FEBF825C"/>
    <w:rsid w:val="FFFD2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qFormat/>
    <w:uiPriority w:val="99"/>
    <w:rPr>
      <w:sz w:val="20"/>
      <w:szCs w:val="20"/>
    </w:rPr>
  </w:style>
  <w:style w:type="paragraph" w:styleId="11">
    <w:name w:val="endnote text"/>
    <w:basedOn w:val="1"/>
    <w:link w:val="39"/>
    <w:semiHidden/>
    <w:unhideWhenUsed/>
    <w:qFormat/>
    <w:uiPriority w:val="99"/>
    <w:pPr>
      <w:spacing w:after="0"/>
    </w:pPr>
    <w:rPr>
      <w:sz w:val="20"/>
      <w:szCs w:val="20"/>
    </w:rPr>
  </w:style>
  <w:style w:type="paragraph" w:styleId="12">
    <w:name w:val="Balloon Text"/>
    <w:basedOn w:val="1"/>
    <w:link w:val="35"/>
    <w:semiHidden/>
    <w:unhideWhenUsed/>
    <w:qFormat/>
    <w:uiPriority w:val="99"/>
    <w:pPr>
      <w:spacing w:after="0"/>
    </w:pPr>
    <w:rPr>
      <w:rFonts w:ascii="Tahoma" w:hAnsi="Tahoma" w:cs="Tahoma"/>
      <w:sz w:val="16"/>
      <w:szCs w:val="16"/>
    </w:rPr>
  </w:style>
  <w:style w:type="paragraph" w:styleId="13">
    <w:name w:val="footer"/>
    <w:basedOn w:val="1"/>
    <w:link w:val="40"/>
    <w:unhideWhenUsed/>
    <w:qFormat/>
    <w:uiPriority w:val="99"/>
    <w:pPr>
      <w:tabs>
        <w:tab w:val="center" w:pos="4844"/>
        <w:tab w:val="right" w:pos="9689"/>
      </w:tabs>
      <w:spacing w:after="0"/>
    </w:pPr>
  </w:style>
  <w:style w:type="paragraph" w:styleId="14">
    <w:name w:val="header"/>
    <w:basedOn w:val="1"/>
    <w:link w:val="42"/>
    <w:unhideWhenUsed/>
    <w:qFormat/>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qFormat/>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qFormat/>
    <w:uiPriority w:val="99"/>
    <w:rPr>
      <w:b/>
      <w:bCs/>
    </w:rPr>
  </w:style>
  <w:style w:type="table" w:styleId="21">
    <w:name w:val="Table Grid"/>
    <w:basedOn w:val="20"/>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qFormat/>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qFormat/>
    <w:uiPriority w:val="99"/>
    <w:rPr>
      <w:sz w:val="16"/>
      <w:szCs w:val="16"/>
    </w:rPr>
  </w:style>
  <w:style w:type="character" w:styleId="30">
    <w:name w:val="footnote reference"/>
    <w:basedOn w:val="22"/>
    <w:semiHidden/>
    <w:unhideWhenUsed/>
    <w:qFormat/>
    <w:uiPriority w:val="99"/>
    <w:rPr>
      <w:vertAlign w:val="superscript"/>
    </w:rPr>
  </w:style>
  <w:style w:type="character" w:customStyle="1" w:styleId="31">
    <w:name w:val="Heading 1 Char"/>
    <w:basedOn w:val="22"/>
    <w:link w:val="2"/>
    <w:qFormat/>
    <w:uiPriority w:val="2"/>
    <w:rPr>
      <w:rFonts w:ascii="Times New Roman" w:hAnsi="Times New Roman" w:eastAsia="Cambria" w:cs="Times New Roman"/>
      <w:b/>
      <w:sz w:val="24"/>
      <w:szCs w:val="24"/>
    </w:rPr>
  </w:style>
  <w:style w:type="character" w:customStyle="1" w:styleId="32">
    <w:name w:val="Heading 2 Char"/>
    <w:basedOn w:val="22"/>
    <w:link w:val="4"/>
    <w:qFormat/>
    <w:uiPriority w:val="2"/>
    <w:rPr>
      <w:rFonts w:ascii="Times New Roman" w:hAnsi="Times New Roman" w:eastAsia="Cambria" w:cs="Times New Roman"/>
      <w:b/>
      <w:sz w:val="24"/>
      <w:szCs w:val="24"/>
    </w:rPr>
  </w:style>
  <w:style w:type="character" w:customStyle="1" w:styleId="33">
    <w:name w:val="Subtitle Char"/>
    <w:basedOn w:val="22"/>
    <w:link w:val="15"/>
    <w:qFormat/>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Balloon Text Char"/>
    <w:basedOn w:val="22"/>
    <w:link w:val="12"/>
    <w:semiHidden/>
    <w:qFormat/>
    <w:uiPriority w:val="99"/>
    <w:rPr>
      <w:rFonts w:ascii="Tahoma" w:hAnsi="Tahoma" w:cs="Tahoma"/>
      <w:sz w:val="16"/>
      <w:szCs w:val="16"/>
    </w:rPr>
  </w:style>
  <w:style w:type="character" w:customStyle="1" w:styleId="36">
    <w:name w:val="Book Title"/>
    <w:basedOn w:val="22"/>
    <w:qFormat/>
    <w:uiPriority w:val="33"/>
    <w:rPr>
      <w:rFonts w:ascii="Times New Roman" w:hAnsi="Times New Roman"/>
      <w:b/>
      <w:bCs/>
      <w:i/>
      <w:iCs/>
      <w:spacing w:val="5"/>
    </w:rPr>
  </w:style>
  <w:style w:type="character" w:customStyle="1" w:styleId="37">
    <w:name w:val="Comment Text Char"/>
    <w:basedOn w:val="22"/>
    <w:link w:val="10"/>
    <w:semiHidden/>
    <w:qFormat/>
    <w:uiPriority w:val="99"/>
    <w:rPr>
      <w:rFonts w:ascii="Times New Roman" w:hAnsi="Times New Roman"/>
      <w:sz w:val="20"/>
      <w:szCs w:val="20"/>
    </w:rPr>
  </w:style>
  <w:style w:type="character" w:customStyle="1" w:styleId="38">
    <w:name w:val="Comment Subject Char"/>
    <w:basedOn w:val="37"/>
    <w:link w:val="19"/>
    <w:semiHidden/>
    <w:qFormat/>
    <w:uiPriority w:val="99"/>
    <w:rPr>
      <w:rFonts w:ascii="Times New Roman" w:hAnsi="Times New Roman"/>
      <w:b/>
      <w:bCs/>
      <w:sz w:val="20"/>
      <w:szCs w:val="20"/>
    </w:rPr>
  </w:style>
  <w:style w:type="character" w:customStyle="1" w:styleId="39">
    <w:name w:val="Endnote Text Char"/>
    <w:basedOn w:val="22"/>
    <w:link w:val="11"/>
    <w:semiHidden/>
    <w:qFormat/>
    <w:uiPriority w:val="99"/>
    <w:rPr>
      <w:rFonts w:ascii="Times New Roman" w:hAnsi="Times New Roman"/>
      <w:sz w:val="20"/>
      <w:szCs w:val="20"/>
    </w:rPr>
  </w:style>
  <w:style w:type="character" w:customStyle="1" w:styleId="40">
    <w:name w:val="Footer Char"/>
    <w:basedOn w:val="22"/>
    <w:link w:val="13"/>
    <w:qFormat/>
    <w:uiPriority w:val="99"/>
    <w:rPr>
      <w:rFonts w:ascii="Times New Roman" w:hAnsi="Times New Roman"/>
      <w:sz w:val="24"/>
    </w:rPr>
  </w:style>
  <w:style w:type="character" w:customStyle="1" w:styleId="41">
    <w:name w:val="Footnote Text Char"/>
    <w:basedOn w:val="22"/>
    <w:link w:val="16"/>
    <w:semiHidden/>
    <w:qFormat/>
    <w:uiPriority w:val="99"/>
    <w:rPr>
      <w:rFonts w:ascii="Times New Roman" w:hAnsi="Times New Roman"/>
      <w:sz w:val="20"/>
      <w:szCs w:val="20"/>
    </w:rPr>
  </w:style>
  <w:style w:type="character" w:customStyle="1" w:styleId="42">
    <w:name w:val="Header Char"/>
    <w:basedOn w:val="22"/>
    <w:link w:val="14"/>
    <w:qFormat/>
    <w:uiPriority w:val="99"/>
    <w:rPr>
      <w:rFonts w:ascii="Times New Roman" w:hAnsi="Times New Roman"/>
      <w:b/>
      <w:sz w:val="24"/>
    </w:rPr>
  </w:style>
  <w:style w:type="character" w:customStyle="1" w:styleId="43">
    <w:name w:val="Intense Emphasis"/>
    <w:basedOn w:val="22"/>
    <w:unhideWhenUsed/>
    <w:qFormat/>
    <w:uiPriority w:val="21"/>
    <w:rPr>
      <w:rFonts w:ascii="Times New Roman" w:hAnsi="Times New Roman"/>
      <w:i/>
      <w:iCs/>
      <w:color w:val="auto"/>
    </w:rPr>
  </w:style>
  <w:style w:type="character" w:customStyle="1" w:styleId="44">
    <w:name w:val="Intense Reference"/>
    <w:basedOn w:val="22"/>
    <w:qFormat/>
    <w:uiPriority w:val="32"/>
    <w:rPr>
      <w:b/>
      <w:bCs/>
      <w:smallCaps/>
      <w:color w:val="auto"/>
      <w:spacing w:val="5"/>
    </w:rPr>
  </w:style>
  <w:style w:type="character" w:customStyle="1" w:styleId="45">
    <w:name w:val="Heading 3 Char"/>
    <w:basedOn w:val="22"/>
    <w:link w:val="5"/>
    <w:qFormat/>
    <w:uiPriority w:val="2"/>
    <w:rPr>
      <w:rFonts w:ascii="Times New Roman" w:hAnsi="Times New Roman" w:eastAsiaTheme="majorEastAsia" w:cstheme="majorBidi"/>
      <w:b/>
      <w:sz w:val="24"/>
      <w:szCs w:val="24"/>
    </w:rPr>
  </w:style>
  <w:style w:type="character" w:customStyle="1" w:styleId="46">
    <w:name w:val="Heading 4 Char"/>
    <w:basedOn w:val="22"/>
    <w:link w:val="6"/>
    <w:qFormat/>
    <w:uiPriority w:val="2"/>
    <w:rPr>
      <w:rFonts w:ascii="Times New Roman" w:hAnsi="Times New Roman" w:eastAsiaTheme="majorEastAsia" w:cstheme="majorBidi"/>
      <w:b/>
      <w:iCs/>
      <w:sz w:val="24"/>
      <w:szCs w:val="24"/>
    </w:rPr>
  </w:style>
  <w:style w:type="character" w:customStyle="1" w:styleId="47">
    <w:name w:val="Heading 5 Char"/>
    <w:basedOn w:val="22"/>
    <w:link w:val="7"/>
    <w:qFormat/>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Title Char"/>
    <w:basedOn w:val="22"/>
    <w:link w:val="18"/>
    <w:qFormat/>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wfy/Library/Containers/com.kingsoft.wpsoffice.mac/Data/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1</Pages>
  <Words>247</Words>
  <Characters>1410</Characters>
  <Lines>11</Lines>
  <Paragraphs>3</Paragraphs>
  <TotalTime>3</TotalTime>
  <ScaleCrop>false</ScaleCrop>
  <LinksUpToDate>false</LinksUpToDate>
  <CharactersWithSpaces>1654</CharactersWithSpaces>
  <Application>WPS Office_4.4.1.7360_F1E327BC-269C-435d-A152-05C5408002CA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2018-11-24T08:58:00Z</dcterms:created>
  <dc:creator>Frontiers Media SA</dc:creator>
  <cp:lastModifiedBy>我重  要么</cp:lastModifiedBy>
  <cp:lastPrinted>2013-10-04T12:51:00Z</cp:lastPrinted>
  <dcterms:modified xsi:type="dcterms:W3CDTF">2022-07-27T14:46:55Z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2052-4.4.1.7360</vt:lpwstr>
  </property>
  <property fmtid="{D5CDD505-2E9C-101B-9397-08002B2CF9AE}" pid="3" name="ICV">
    <vt:lpwstr>81E293C12395CB75AB69CF627BB98DCE</vt:lpwstr>
  </property>
</Properties>
</file>