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4881E" w14:textId="77777777" w:rsidR="00072A56" w:rsidRPr="00AB2FF6" w:rsidRDefault="00072A56" w:rsidP="00072A56">
      <w:pPr>
        <w:spacing w:line="480" w:lineRule="auto"/>
        <w:rPr>
          <w:b/>
          <w:bCs/>
          <w:sz w:val="24"/>
          <w:szCs w:val="24"/>
        </w:rPr>
      </w:pPr>
      <w:r w:rsidRPr="00AB2FF6">
        <w:rPr>
          <w:b/>
          <w:bCs/>
          <w:sz w:val="24"/>
          <w:szCs w:val="24"/>
        </w:rPr>
        <w:t>Supplementary Figure</w:t>
      </w:r>
    </w:p>
    <w:p w14:paraId="5A37CEEE" w14:textId="77777777" w:rsidR="00F87E5B" w:rsidRPr="00DA4B86" w:rsidRDefault="00F87E5B" w:rsidP="00F87E5B">
      <w:pPr>
        <w:rPr>
          <w:rFonts w:cs="Times New Roman"/>
          <w:b/>
          <w:bCs/>
          <w:szCs w:val="24"/>
        </w:rPr>
      </w:pPr>
      <w:r w:rsidRPr="00DA4B86">
        <w:rPr>
          <w:rFonts w:cs="Times New Roman"/>
          <w:b/>
          <w:bCs/>
          <w:szCs w:val="24"/>
        </w:rPr>
        <w:t>Supplementary Figure 1. Expression characteristics of the pyroptosis-related genes in LUSC</w:t>
      </w:r>
      <w:r>
        <w:rPr>
          <w:rFonts w:cs="Times New Roman"/>
          <w:b/>
          <w:bCs/>
          <w:szCs w:val="24"/>
        </w:rPr>
        <w:t>.</w:t>
      </w:r>
    </w:p>
    <w:p w14:paraId="2A0A5D26" w14:textId="77777777" w:rsidR="00F87E5B" w:rsidRPr="00B377FC" w:rsidRDefault="00F87E5B" w:rsidP="00F87E5B">
      <w:pPr>
        <w:rPr>
          <w:rFonts w:cs="Times New Roman"/>
          <w:szCs w:val="24"/>
        </w:rPr>
      </w:pPr>
      <w:r w:rsidRPr="00792EE3">
        <w:rPr>
          <w:rFonts w:cs="Times New Roman"/>
          <w:szCs w:val="24"/>
        </w:rPr>
        <w:t xml:space="preserve">(A) </w:t>
      </w:r>
      <w:r w:rsidRPr="00B377FC">
        <w:rPr>
          <w:rFonts w:cs="Times New Roman"/>
          <w:szCs w:val="24"/>
        </w:rPr>
        <w:t xml:space="preserve">Differential expression analysis between 502 tumors and 49 normal samples. Asterisk denotes the P-value (*: P &lt; 0.05, **: P &lt; 0.01, and ***: P &lt; 0.001). </w:t>
      </w:r>
      <w:r w:rsidRPr="00792EE3">
        <w:rPr>
          <w:rFonts w:cs="Times New Roman"/>
          <w:szCs w:val="24"/>
        </w:rPr>
        <w:t>(B)</w:t>
      </w:r>
      <w:r w:rsidRPr="00B377FC">
        <w:rPr>
          <w:rFonts w:cs="Times New Roman"/>
          <w:szCs w:val="24"/>
        </w:rPr>
        <w:t xml:space="preserve"> Expression characteristic of the pyroptosis-related genes in 502 patients with LUSC in the TCGA. The red color denotes co-expression, the blue color denotes mutex-expression, and the asterisk denotes a P-value of less than 0.05.</w:t>
      </w:r>
    </w:p>
    <w:p w14:paraId="6AA448BA" w14:textId="77777777" w:rsidR="00F87E5B" w:rsidRPr="00DA4B86" w:rsidRDefault="00F87E5B" w:rsidP="00F87E5B">
      <w:pPr>
        <w:rPr>
          <w:rFonts w:cs="Times New Roman"/>
          <w:szCs w:val="24"/>
        </w:rPr>
      </w:pPr>
    </w:p>
    <w:p w14:paraId="3B87042D" w14:textId="77777777" w:rsidR="00F87E5B" w:rsidRPr="00DA4B86" w:rsidRDefault="00F87E5B" w:rsidP="00F87E5B">
      <w:pPr>
        <w:rPr>
          <w:rFonts w:cs="Times New Roman"/>
          <w:b/>
          <w:bCs/>
          <w:szCs w:val="24"/>
        </w:rPr>
      </w:pPr>
      <w:r w:rsidRPr="00DA4B86">
        <w:rPr>
          <w:rFonts w:cs="Times New Roman"/>
          <w:b/>
          <w:bCs/>
          <w:szCs w:val="24"/>
        </w:rPr>
        <w:t>Supplementary Figure 2. Consensus clustering of the LUSC patients based on the expression of the pyroptosis-related genes</w:t>
      </w:r>
      <w:r>
        <w:rPr>
          <w:rFonts w:cs="Times New Roman"/>
          <w:b/>
          <w:bCs/>
          <w:szCs w:val="24"/>
        </w:rPr>
        <w:t>.</w:t>
      </w:r>
    </w:p>
    <w:p w14:paraId="45B80ECF" w14:textId="77777777" w:rsidR="00F87E5B" w:rsidRPr="00B377FC" w:rsidRDefault="00F87E5B" w:rsidP="00F87E5B">
      <w:pPr>
        <w:rPr>
          <w:rFonts w:cs="Times New Roman"/>
          <w:szCs w:val="24"/>
        </w:rPr>
      </w:pPr>
      <w:r w:rsidRPr="00792EE3">
        <w:rPr>
          <w:rFonts w:cs="Times New Roman"/>
          <w:szCs w:val="24"/>
        </w:rPr>
        <w:t>(A-H)</w:t>
      </w:r>
      <w:r w:rsidRPr="00B377FC">
        <w:rPr>
          <w:rFonts w:cs="Times New Roman"/>
          <w:szCs w:val="24"/>
        </w:rPr>
        <w:t xml:space="preserve"> heatmaps of the consistency matrix with k=2 to k=9. </w:t>
      </w:r>
      <w:r w:rsidRPr="00792EE3">
        <w:rPr>
          <w:rFonts w:cs="Times New Roman"/>
          <w:szCs w:val="24"/>
        </w:rPr>
        <w:t xml:space="preserve">(I) </w:t>
      </w:r>
      <w:r w:rsidRPr="00B377FC">
        <w:rPr>
          <w:rFonts w:cs="Times New Roman"/>
          <w:szCs w:val="24"/>
        </w:rPr>
        <w:t xml:space="preserve">Empirical cumulative distribution function (CDF) plot for evaluating consensus distributions of each k value. </w:t>
      </w:r>
      <w:r w:rsidRPr="00792EE3">
        <w:rPr>
          <w:rFonts w:cs="Times New Roman"/>
          <w:szCs w:val="24"/>
        </w:rPr>
        <w:t>(J)</w:t>
      </w:r>
      <w:r w:rsidRPr="00B377FC">
        <w:rPr>
          <w:rFonts w:cs="Times New Roman"/>
          <w:szCs w:val="24"/>
        </w:rPr>
        <w:t xml:space="preserve"> CDF delta area curve of consensus clustering from 2 to 9 of k</w:t>
      </w:r>
    </w:p>
    <w:p w14:paraId="411CFA95" w14:textId="77777777" w:rsidR="00F87E5B" w:rsidRPr="00DA4B86" w:rsidRDefault="00F87E5B" w:rsidP="00F87E5B">
      <w:pPr>
        <w:rPr>
          <w:rFonts w:cs="Times New Roman"/>
          <w:szCs w:val="24"/>
        </w:rPr>
      </w:pPr>
    </w:p>
    <w:p w14:paraId="0FC608BD" w14:textId="77777777" w:rsidR="00F87E5B" w:rsidRPr="00DA4B86" w:rsidRDefault="00F87E5B" w:rsidP="00F87E5B">
      <w:pPr>
        <w:rPr>
          <w:rFonts w:cs="Times New Roman"/>
          <w:b/>
          <w:bCs/>
          <w:szCs w:val="24"/>
        </w:rPr>
      </w:pPr>
      <w:r w:rsidRPr="00DA4B86">
        <w:rPr>
          <w:rFonts w:cs="Times New Roman"/>
          <w:b/>
          <w:bCs/>
          <w:szCs w:val="24"/>
        </w:rPr>
        <w:t xml:space="preserve">Supplementary Figure 3. Identification of pyroptosis-related hub genes. </w:t>
      </w:r>
    </w:p>
    <w:p w14:paraId="3B49EFA3" w14:textId="77777777" w:rsidR="00F87E5B" w:rsidRPr="00B377FC" w:rsidRDefault="00F87E5B" w:rsidP="00F87E5B">
      <w:pPr>
        <w:rPr>
          <w:rFonts w:cs="Times New Roman"/>
          <w:szCs w:val="24"/>
        </w:rPr>
      </w:pPr>
      <w:r w:rsidRPr="00792EE3">
        <w:rPr>
          <w:rFonts w:cs="Times New Roman"/>
          <w:szCs w:val="24"/>
        </w:rPr>
        <w:t>(A)</w:t>
      </w:r>
      <w:r w:rsidRPr="00B377FC">
        <w:rPr>
          <w:rFonts w:cs="Times New Roman"/>
          <w:szCs w:val="24"/>
        </w:rPr>
        <w:t xml:space="preserve"> Heatmap showing the differential expression genes (DEGs) between the two pyroptosis expression patterns (C1 vs. C2) with P-value &lt; 0.05 and |log2FC| &gt; 1. </w:t>
      </w:r>
      <w:r w:rsidRPr="00792EE3">
        <w:rPr>
          <w:rFonts w:cs="Times New Roman"/>
          <w:szCs w:val="24"/>
        </w:rPr>
        <w:t xml:space="preserve">(B) </w:t>
      </w:r>
      <w:r w:rsidRPr="00B377FC">
        <w:rPr>
          <w:rFonts w:cs="Times New Roman"/>
          <w:szCs w:val="24"/>
        </w:rPr>
        <w:t xml:space="preserve">Volcano map for DEGs between the two pyroptosis expression patterns (C1 vs. C2). </w:t>
      </w:r>
      <w:r w:rsidRPr="00792EE3">
        <w:rPr>
          <w:rFonts w:cs="Times New Roman"/>
          <w:szCs w:val="24"/>
        </w:rPr>
        <w:t xml:space="preserve">(C) </w:t>
      </w:r>
      <w:r w:rsidRPr="00B377FC">
        <w:rPr>
          <w:rFonts w:cs="Times New Roman"/>
          <w:szCs w:val="24"/>
        </w:rPr>
        <w:t xml:space="preserve">Gene modules grouped by WGCNA. </w:t>
      </w:r>
      <w:r w:rsidRPr="00792EE3">
        <w:rPr>
          <w:rFonts w:cs="Times New Roman"/>
          <w:szCs w:val="24"/>
        </w:rPr>
        <w:t>(D)</w:t>
      </w:r>
      <w:r w:rsidRPr="00B377FC">
        <w:rPr>
          <w:rFonts w:cs="Times New Roman"/>
          <w:szCs w:val="24"/>
        </w:rPr>
        <w:t xml:space="preserve"> The gene network in yellow and turquoise modules. </w:t>
      </w:r>
      <w:r w:rsidRPr="00792EE3">
        <w:rPr>
          <w:rFonts w:cs="Times New Roman"/>
          <w:szCs w:val="24"/>
        </w:rPr>
        <w:t>(E)</w:t>
      </w:r>
      <w:r w:rsidRPr="00B377FC">
        <w:rPr>
          <w:rFonts w:cs="Times New Roman"/>
          <w:szCs w:val="24"/>
        </w:rPr>
        <w:t xml:space="preserve"> Gene Ontology (GO) and Kyoto Encyclopedia of Genes and Genomes (KEGG) analysis for revealing the potential regulatory mechanisms.</w:t>
      </w:r>
      <w:r>
        <w:rPr>
          <w:rFonts w:cs="Times New Roman"/>
          <w:szCs w:val="24"/>
        </w:rPr>
        <w:t xml:space="preserve"> A total of 410 hub genes </w:t>
      </w:r>
      <w:r w:rsidRPr="00CE472C">
        <w:rPr>
          <w:rFonts w:cs="Times New Roman"/>
          <w:szCs w:val="24"/>
        </w:rPr>
        <w:t xml:space="preserve">were obtained from </w:t>
      </w:r>
      <w:r>
        <w:rPr>
          <w:rFonts w:cs="Times New Roman"/>
          <w:szCs w:val="24"/>
        </w:rPr>
        <w:t>the yellow and turquoise modules in WGCNA.</w:t>
      </w:r>
    </w:p>
    <w:p w14:paraId="1E7B03CD" w14:textId="77777777" w:rsidR="00F87E5B" w:rsidRPr="00DA4B86" w:rsidRDefault="00F87E5B" w:rsidP="00F87E5B">
      <w:pPr>
        <w:rPr>
          <w:rFonts w:cs="Times New Roman"/>
          <w:szCs w:val="24"/>
        </w:rPr>
      </w:pPr>
    </w:p>
    <w:p w14:paraId="704DA32A" w14:textId="77777777" w:rsidR="00F87E5B" w:rsidRPr="00DA4B86" w:rsidRDefault="00F87E5B" w:rsidP="00F87E5B">
      <w:pPr>
        <w:rPr>
          <w:rFonts w:cs="Times New Roman"/>
          <w:b/>
          <w:bCs/>
          <w:szCs w:val="24"/>
        </w:rPr>
      </w:pPr>
      <w:r w:rsidRPr="00DA4B86">
        <w:rPr>
          <w:rFonts w:cs="Times New Roman"/>
          <w:b/>
          <w:bCs/>
          <w:szCs w:val="24"/>
        </w:rPr>
        <w:t>Supplementary Figure 4. Determination of the soft-thresholding power in the WGCNA analysis</w:t>
      </w:r>
      <w:r>
        <w:rPr>
          <w:rFonts w:cs="Times New Roman"/>
          <w:b/>
          <w:bCs/>
          <w:szCs w:val="24"/>
        </w:rPr>
        <w:t>.</w:t>
      </w:r>
    </w:p>
    <w:p w14:paraId="6D797E56" w14:textId="77777777" w:rsidR="00F87E5B" w:rsidRPr="00B377FC" w:rsidRDefault="00F87E5B" w:rsidP="00F87E5B">
      <w:pPr>
        <w:rPr>
          <w:rFonts w:cs="Times New Roman"/>
          <w:szCs w:val="24"/>
        </w:rPr>
      </w:pPr>
      <w:r w:rsidRPr="00792EE3">
        <w:rPr>
          <w:rFonts w:cs="Times New Roman"/>
          <w:szCs w:val="24"/>
        </w:rPr>
        <w:t>(A)</w:t>
      </w:r>
      <w:r w:rsidRPr="00B377FC">
        <w:rPr>
          <w:rFonts w:cs="Times New Roman"/>
          <w:szCs w:val="24"/>
        </w:rPr>
        <w:t xml:space="preserve"> Network topology analysis for different soft-thresholding powers. </w:t>
      </w:r>
      <w:r w:rsidRPr="00792EE3">
        <w:rPr>
          <w:rFonts w:cs="Times New Roman"/>
          <w:szCs w:val="24"/>
        </w:rPr>
        <w:t>(B)</w:t>
      </w:r>
      <w:r w:rsidRPr="00B377FC">
        <w:rPr>
          <w:rFonts w:cs="Times New Roman"/>
          <w:szCs w:val="24"/>
        </w:rPr>
        <w:t xml:space="preserve"> Hierarchical clustering tree showing each module. </w:t>
      </w:r>
    </w:p>
    <w:p w14:paraId="68F0A1A6" w14:textId="77777777" w:rsidR="00F87E5B" w:rsidRPr="00DA4B86" w:rsidRDefault="00F87E5B" w:rsidP="00F87E5B">
      <w:pPr>
        <w:rPr>
          <w:rFonts w:cs="Times New Roman"/>
          <w:szCs w:val="24"/>
        </w:rPr>
      </w:pPr>
    </w:p>
    <w:p w14:paraId="7276599C" w14:textId="77777777" w:rsidR="00F87E5B" w:rsidRPr="00DA4B86" w:rsidRDefault="00F87E5B" w:rsidP="00F87E5B">
      <w:pPr>
        <w:rPr>
          <w:rFonts w:cs="Times New Roman"/>
          <w:b/>
          <w:bCs/>
          <w:szCs w:val="24"/>
        </w:rPr>
      </w:pPr>
      <w:r w:rsidRPr="00DA4B86">
        <w:rPr>
          <w:rFonts w:cs="Times New Roman"/>
          <w:b/>
          <w:bCs/>
          <w:szCs w:val="24"/>
        </w:rPr>
        <w:t>Supplementary Figure 5. The correlation between the pyroptosis-related gene expression and the PEPScore model</w:t>
      </w:r>
      <w:r>
        <w:rPr>
          <w:rFonts w:cs="Times New Roman"/>
          <w:b/>
          <w:bCs/>
          <w:szCs w:val="24"/>
        </w:rPr>
        <w:t>.</w:t>
      </w:r>
    </w:p>
    <w:p w14:paraId="41589CA0" w14:textId="77777777" w:rsidR="00F87E5B" w:rsidRPr="00B377FC" w:rsidRDefault="00F87E5B" w:rsidP="00F87E5B">
      <w:pPr>
        <w:rPr>
          <w:rFonts w:cs="Times New Roman"/>
          <w:szCs w:val="24"/>
        </w:rPr>
      </w:pPr>
      <w:r w:rsidRPr="00792EE3">
        <w:rPr>
          <w:rFonts w:cs="Times New Roman"/>
          <w:szCs w:val="24"/>
        </w:rPr>
        <w:t>(A)</w:t>
      </w:r>
      <w:r w:rsidRPr="00B377FC">
        <w:rPr>
          <w:rFonts w:cs="Times New Roman"/>
          <w:szCs w:val="24"/>
        </w:rPr>
        <w:t xml:space="preserve"> Boxplot shows the differential expression of the pyroptosis-related genes in different PEPScore subgroups. P-value is indicated as asterisk (*: P &lt; 0.05, **: P &lt; 0.01, and ***: P &lt; 0.001). </w:t>
      </w:r>
      <w:r w:rsidRPr="00792EE3">
        <w:rPr>
          <w:rFonts w:cs="Times New Roman"/>
          <w:szCs w:val="24"/>
        </w:rPr>
        <w:t>(B)</w:t>
      </w:r>
      <w:r w:rsidRPr="00B377FC">
        <w:rPr>
          <w:rFonts w:cs="Times New Roman"/>
          <w:szCs w:val="24"/>
        </w:rPr>
        <w:t xml:space="preserve"> Heatmap displaying the correlation between six PEPScore model genes and the pyroptosis-related genes. P-value is indicated as asterisk (*: P &lt; 0.05, **: P &lt; 0.01, and ***: P &lt; 0.001).</w:t>
      </w:r>
    </w:p>
    <w:p w14:paraId="7F7D6FC7" w14:textId="77777777" w:rsidR="00F87E5B" w:rsidRPr="00DA4B86" w:rsidRDefault="00F87E5B" w:rsidP="00F87E5B">
      <w:pPr>
        <w:rPr>
          <w:rFonts w:cs="Times New Roman"/>
          <w:szCs w:val="24"/>
        </w:rPr>
      </w:pPr>
    </w:p>
    <w:p w14:paraId="0A361457" w14:textId="77777777" w:rsidR="00F87E5B" w:rsidRDefault="00F87E5B" w:rsidP="00F87E5B">
      <w:pPr>
        <w:rPr>
          <w:rFonts w:cs="Times New Roman"/>
          <w:b/>
          <w:bCs/>
          <w:szCs w:val="24"/>
        </w:rPr>
      </w:pPr>
      <w:r>
        <w:rPr>
          <w:rFonts w:cs="Times New Roman" w:hint="eastAsia"/>
          <w:b/>
          <w:bCs/>
          <w:szCs w:val="24"/>
        </w:rPr>
        <w:t>S</w:t>
      </w:r>
      <w:r>
        <w:rPr>
          <w:rFonts w:cs="Times New Roman"/>
          <w:b/>
          <w:bCs/>
          <w:szCs w:val="24"/>
        </w:rPr>
        <w:t xml:space="preserve">upplementary Figure 6. Comparation of the </w:t>
      </w:r>
      <w:r>
        <w:rPr>
          <w:rFonts w:cs="Times New Roman" w:hint="eastAsia"/>
          <w:b/>
          <w:bCs/>
          <w:szCs w:val="24"/>
        </w:rPr>
        <w:t>a</w:t>
      </w:r>
      <w:r>
        <w:rPr>
          <w:rFonts w:cs="Times New Roman"/>
          <w:b/>
          <w:bCs/>
          <w:szCs w:val="24"/>
        </w:rPr>
        <w:t>ccuracy of PEPScore with previous study.</w:t>
      </w:r>
    </w:p>
    <w:p w14:paraId="57B70893" w14:textId="77777777" w:rsidR="00F87E5B" w:rsidRPr="00792EE3" w:rsidRDefault="00F87E5B" w:rsidP="00F87E5B">
      <w:pPr>
        <w:rPr>
          <w:rFonts w:eastAsiaTheme="minorEastAsia"/>
          <w:lang w:eastAsia="en-US"/>
        </w:rPr>
      </w:pPr>
      <w:r w:rsidRPr="00792EE3">
        <w:rPr>
          <w:rFonts w:eastAsiaTheme="minorEastAsia"/>
        </w:rPr>
        <w:t xml:space="preserve">(A) </w:t>
      </w:r>
      <w:r w:rsidRPr="00792EE3">
        <w:rPr>
          <w:rFonts w:eastAsiaTheme="minorEastAsia"/>
          <w:lang w:eastAsia="en-US"/>
        </w:rPr>
        <w:t xml:space="preserve">Kaplan-Meier survival analysis and ROC curves for patients in the TCGA cohort to identify the prognostic power of the </w:t>
      </w:r>
      <w:r w:rsidRPr="00792EE3">
        <w:rPr>
          <w:rFonts w:eastAsiaTheme="minorEastAsia"/>
        </w:rPr>
        <w:t>risk model in Li et al</w:t>
      </w:r>
      <w:r w:rsidRPr="00792EE3">
        <w:rPr>
          <w:rFonts w:eastAsiaTheme="minorEastAsia"/>
          <w:lang w:eastAsia="en-US"/>
        </w:rPr>
        <w:t>.</w:t>
      </w:r>
      <w:r w:rsidRPr="00792EE3">
        <w:rPr>
          <w:rFonts w:eastAsiaTheme="minorEastAsia"/>
        </w:rPr>
        <w:t xml:space="preserve"> study.</w:t>
      </w:r>
      <w:r w:rsidRPr="00792EE3">
        <w:rPr>
          <w:rFonts w:eastAsiaTheme="minorEastAsia"/>
          <w:lang w:eastAsia="en-US"/>
        </w:rPr>
        <w:t xml:space="preserve"> </w:t>
      </w:r>
      <w:r w:rsidRPr="00792EE3">
        <w:rPr>
          <w:rFonts w:eastAsiaTheme="minorEastAsia"/>
        </w:rPr>
        <w:t>(B) the C-index of the PEPScore and the risk model in Li et al. study.</w:t>
      </w:r>
    </w:p>
    <w:p w14:paraId="23D0C75F" w14:textId="77777777" w:rsidR="00F87E5B" w:rsidRPr="00792EE3" w:rsidRDefault="00F87E5B" w:rsidP="00F87E5B">
      <w:pPr>
        <w:rPr>
          <w:b/>
          <w:bCs/>
        </w:rPr>
      </w:pPr>
    </w:p>
    <w:p w14:paraId="1B7D446E" w14:textId="77777777" w:rsidR="00F87E5B" w:rsidRPr="00792EE3" w:rsidRDefault="00F87E5B" w:rsidP="00F87E5B">
      <w:pPr>
        <w:rPr>
          <w:b/>
          <w:bCs/>
        </w:rPr>
      </w:pPr>
      <w:r w:rsidRPr="00792EE3">
        <w:rPr>
          <w:b/>
          <w:bCs/>
        </w:rPr>
        <w:t xml:space="preserve">Supplementary Figure </w:t>
      </w:r>
      <w:r>
        <w:rPr>
          <w:b/>
          <w:bCs/>
        </w:rPr>
        <w:t>7</w:t>
      </w:r>
      <w:r w:rsidRPr="00792EE3">
        <w:rPr>
          <w:b/>
          <w:bCs/>
        </w:rPr>
        <w:t>. Clinical significance of the PEPScore</w:t>
      </w:r>
      <w:r>
        <w:rPr>
          <w:b/>
          <w:bCs/>
        </w:rPr>
        <w:t>.</w:t>
      </w:r>
    </w:p>
    <w:p w14:paraId="2FB6FD4A" w14:textId="77777777" w:rsidR="00F87E5B" w:rsidRPr="00B377FC" w:rsidRDefault="00F87E5B" w:rsidP="00F87E5B">
      <w:pPr>
        <w:rPr>
          <w:rFonts w:cs="Times New Roman"/>
          <w:szCs w:val="24"/>
        </w:rPr>
      </w:pPr>
      <w:r w:rsidRPr="00792EE3">
        <w:rPr>
          <w:rFonts w:cs="Times New Roman"/>
          <w:szCs w:val="24"/>
        </w:rPr>
        <w:t xml:space="preserve">(A) </w:t>
      </w:r>
      <w:r w:rsidRPr="00B377FC">
        <w:rPr>
          <w:rFonts w:cs="Times New Roman"/>
          <w:szCs w:val="24"/>
        </w:rPr>
        <w:t>Univariate Cox analysis of clinical factors and the PEPScore, and multivariate Cox analysis of the factors significant in the univariate Cox analysis (P &lt; 0.05).</w:t>
      </w:r>
      <w:r w:rsidRPr="00792EE3">
        <w:rPr>
          <w:rFonts w:cs="Times New Roman"/>
          <w:szCs w:val="24"/>
        </w:rPr>
        <w:t xml:space="preserve"> (B)</w:t>
      </w:r>
      <w:r w:rsidRPr="00B377FC">
        <w:rPr>
          <w:rFonts w:cs="Times New Roman"/>
          <w:szCs w:val="24"/>
        </w:rPr>
        <w:t xml:space="preserve"> Wilcoxon test of PEPScore </w:t>
      </w:r>
      <w:r w:rsidRPr="00B377FC">
        <w:rPr>
          <w:rFonts w:cs="Times New Roman"/>
          <w:szCs w:val="24"/>
        </w:rPr>
        <w:lastRenderedPageBreak/>
        <w:t xml:space="preserve">variation in age, gender, stage and race. </w:t>
      </w:r>
      <w:r w:rsidRPr="00792EE3">
        <w:rPr>
          <w:rFonts w:cs="Times New Roman"/>
          <w:szCs w:val="24"/>
        </w:rPr>
        <w:t>(C)</w:t>
      </w:r>
      <w:r w:rsidRPr="00B377FC">
        <w:rPr>
          <w:rFonts w:cs="Times New Roman"/>
          <w:szCs w:val="24"/>
        </w:rPr>
        <w:t xml:space="preserve"> A nomogram for evaluating prognostic effect in the TCGA dataset. </w:t>
      </w:r>
      <w:r w:rsidRPr="00792EE3">
        <w:rPr>
          <w:rFonts w:cs="Times New Roman"/>
          <w:szCs w:val="24"/>
        </w:rPr>
        <w:t>(D)</w:t>
      </w:r>
      <w:r w:rsidRPr="00B377FC">
        <w:rPr>
          <w:rFonts w:cs="Times New Roman"/>
          <w:szCs w:val="24"/>
        </w:rPr>
        <w:t xml:space="preserve"> Nomogram calibration plots for estimating the OS at 1, 3, and 5 years in the TCGA dataset. </w:t>
      </w:r>
      <w:r w:rsidRPr="00792EE3">
        <w:rPr>
          <w:rFonts w:cs="Times New Roman"/>
          <w:szCs w:val="24"/>
        </w:rPr>
        <w:t>(E)</w:t>
      </w:r>
      <w:r w:rsidRPr="00B377FC">
        <w:rPr>
          <w:rFonts w:cs="Times New Roman"/>
          <w:szCs w:val="24"/>
        </w:rPr>
        <w:t xml:space="preserve"> Decision curve analysis (DCA) for nomogram, PEPScore, age, gender and stage. </w:t>
      </w:r>
      <w:r w:rsidRPr="00792EE3">
        <w:rPr>
          <w:rFonts w:cs="Times New Roman"/>
          <w:szCs w:val="24"/>
        </w:rPr>
        <w:t>(F)</w:t>
      </w:r>
      <w:r w:rsidRPr="00B377FC">
        <w:rPr>
          <w:rFonts w:cs="Times New Roman"/>
          <w:szCs w:val="24"/>
        </w:rPr>
        <w:t xml:space="preserve"> </w:t>
      </w:r>
      <w:bookmarkStart w:id="0" w:name="_Hlk98282232"/>
      <w:r w:rsidRPr="00B377FC">
        <w:rPr>
          <w:rFonts w:cs="Times New Roman"/>
          <w:szCs w:val="24"/>
        </w:rPr>
        <w:t>ROC curve analysis of the</w:t>
      </w:r>
      <w:bookmarkEnd w:id="0"/>
      <w:r w:rsidRPr="00B377FC">
        <w:rPr>
          <w:rFonts w:cs="Times New Roman"/>
          <w:szCs w:val="24"/>
        </w:rPr>
        <w:t xml:space="preserve"> prediction value of nomogram, PEPScore, age and stage.</w:t>
      </w:r>
    </w:p>
    <w:p w14:paraId="1A1FC4BF" w14:textId="77777777" w:rsidR="00F87E5B" w:rsidRPr="00DA4B86" w:rsidRDefault="00F87E5B" w:rsidP="00F87E5B">
      <w:pPr>
        <w:rPr>
          <w:rFonts w:cs="Times New Roman"/>
          <w:szCs w:val="24"/>
        </w:rPr>
      </w:pPr>
    </w:p>
    <w:p w14:paraId="4FCB8417" w14:textId="77777777" w:rsidR="00F87E5B" w:rsidRPr="00DA4B86" w:rsidRDefault="00F87E5B" w:rsidP="00F87E5B">
      <w:pPr>
        <w:rPr>
          <w:rFonts w:cs="Times New Roman"/>
          <w:b/>
          <w:bCs/>
          <w:szCs w:val="24"/>
        </w:rPr>
      </w:pPr>
      <w:r w:rsidRPr="00DA4B86">
        <w:rPr>
          <w:rFonts w:cs="Times New Roman"/>
          <w:b/>
          <w:bCs/>
          <w:szCs w:val="24"/>
        </w:rPr>
        <w:t xml:space="preserve">Supplementary Figure </w:t>
      </w:r>
      <w:r>
        <w:rPr>
          <w:rFonts w:cs="Times New Roman"/>
          <w:b/>
          <w:bCs/>
          <w:szCs w:val="24"/>
        </w:rPr>
        <w:t>8</w:t>
      </w:r>
      <w:r w:rsidRPr="00DA4B86">
        <w:rPr>
          <w:rFonts w:cs="Times New Roman"/>
          <w:b/>
          <w:bCs/>
          <w:szCs w:val="24"/>
        </w:rPr>
        <w:t>. Comprehensive analysis of molecular characteristics of the six PEPScore model genes</w:t>
      </w:r>
      <w:r>
        <w:rPr>
          <w:rFonts w:cs="Times New Roman"/>
          <w:b/>
          <w:bCs/>
          <w:szCs w:val="24"/>
        </w:rPr>
        <w:t>.</w:t>
      </w:r>
    </w:p>
    <w:p w14:paraId="4D9742BE" w14:textId="77777777" w:rsidR="00F87E5B" w:rsidRPr="00B377FC" w:rsidRDefault="00F87E5B" w:rsidP="00F87E5B">
      <w:pPr>
        <w:rPr>
          <w:rFonts w:cs="Times New Roman"/>
          <w:szCs w:val="24"/>
        </w:rPr>
      </w:pPr>
      <w:r w:rsidRPr="00792EE3">
        <w:rPr>
          <w:rFonts w:cs="Times New Roman"/>
          <w:szCs w:val="24"/>
        </w:rPr>
        <w:t xml:space="preserve">(A) </w:t>
      </w:r>
      <w:r w:rsidRPr="00B377FC">
        <w:rPr>
          <w:rFonts w:cs="Times New Roman"/>
          <w:szCs w:val="24"/>
        </w:rPr>
        <w:t xml:space="preserve">Gene mutation analysis on the six PEPScore model genes. </w:t>
      </w:r>
      <w:bookmarkStart w:id="1" w:name="_Hlk98545899"/>
      <w:r w:rsidRPr="00B377FC">
        <w:rPr>
          <w:rFonts w:cs="Times New Roman"/>
          <w:szCs w:val="24"/>
        </w:rPr>
        <w:t>Each column represents an individual and the model genes are arranged by mutation frequency. The color block indicates mutation type, the illustration above depicts the TMB, the number on the right depicts the mutation percentage, and the figure at the bottom indicates the clinical characteristics.</w:t>
      </w:r>
      <w:bookmarkEnd w:id="1"/>
      <w:r w:rsidRPr="00B377FC">
        <w:rPr>
          <w:rFonts w:cs="Times New Roman"/>
          <w:szCs w:val="24"/>
        </w:rPr>
        <w:t xml:space="preserve"> </w:t>
      </w:r>
      <w:r w:rsidRPr="00792EE3">
        <w:rPr>
          <w:rFonts w:cs="Times New Roman"/>
          <w:szCs w:val="24"/>
        </w:rPr>
        <w:t xml:space="preserve">(B) </w:t>
      </w:r>
      <w:r w:rsidRPr="00B377FC">
        <w:rPr>
          <w:rFonts w:cs="Times New Roman"/>
          <w:szCs w:val="24"/>
        </w:rPr>
        <w:t>Heatmap displaying the association between the six PEPScore model genes and the immune cells. P-value is indicated as asterisk (*: P &lt; 0.05, **: P &lt; 0.01, and ***: P &lt; 0.001).</w:t>
      </w:r>
    </w:p>
    <w:p w14:paraId="3EE84B70" w14:textId="77777777" w:rsidR="00F87E5B" w:rsidRPr="00DA4B86" w:rsidRDefault="00F87E5B" w:rsidP="00F87E5B">
      <w:pPr>
        <w:rPr>
          <w:rFonts w:cs="Times New Roman"/>
          <w:szCs w:val="24"/>
        </w:rPr>
      </w:pPr>
    </w:p>
    <w:p w14:paraId="70A2EE69" w14:textId="77777777" w:rsidR="00F87E5B" w:rsidRPr="00DA4B86" w:rsidRDefault="00F87E5B" w:rsidP="00F87E5B">
      <w:pPr>
        <w:rPr>
          <w:rFonts w:cs="Times New Roman"/>
          <w:b/>
          <w:bCs/>
          <w:szCs w:val="24"/>
        </w:rPr>
      </w:pPr>
      <w:r w:rsidRPr="00DA4B86">
        <w:rPr>
          <w:rFonts w:cs="Times New Roman"/>
          <w:b/>
          <w:bCs/>
          <w:szCs w:val="24"/>
        </w:rPr>
        <w:t xml:space="preserve">Supplementary Figure </w:t>
      </w:r>
      <w:r>
        <w:rPr>
          <w:rFonts w:cs="Times New Roman"/>
          <w:b/>
          <w:bCs/>
          <w:szCs w:val="24"/>
        </w:rPr>
        <w:t>9</w:t>
      </w:r>
      <w:r w:rsidRPr="00DA4B86">
        <w:rPr>
          <w:rFonts w:cs="Times New Roman"/>
          <w:b/>
          <w:bCs/>
          <w:szCs w:val="24"/>
        </w:rPr>
        <w:t>. The correlation between PEPScore and the checkpoint molecules and chemokine receptors expression level.</w:t>
      </w:r>
    </w:p>
    <w:p w14:paraId="6B8E5D7C" w14:textId="77777777" w:rsidR="00DE5D59" w:rsidRPr="00F87E5B" w:rsidRDefault="00DE5D59"/>
    <w:sectPr w:rsidR="00DE5D59" w:rsidRPr="00F87E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D13E5" w14:textId="77777777" w:rsidR="00182124" w:rsidRDefault="00182124" w:rsidP="00072A56">
      <w:r>
        <w:separator/>
      </w:r>
    </w:p>
  </w:endnote>
  <w:endnote w:type="continuationSeparator" w:id="0">
    <w:p w14:paraId="5E6C5581" w14:textId="77777777" w:rsidR="00182124" w:rsidRDefault="00182124" w:rsidP="0007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DD02D" w14:textId="77777777" w:rsidR="00182124" w:rsidRDefault="00182124" w:rsidP="00072A56">
      <w:r>
        <w:separator/>
      </w:r>
    </w:p>
  </w:footnote>
  <w:footnote w:type="continuationSeparator" w:id="0">
    <w:p w14:paraId="36DBBFEF" w14:textId="77777777" w:rsidR="00182124" w:rsidRDefault="00182124" w:rsidP="00072A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3B9"/>
    <w:rsid w:val="00072A56"/>
    <w:rsid w:val="00182124"/>
    <w:rsid w:val="00980792"/>
    <w:rsid w:val="00A413B9"/>
    <w:rsid w:val="00DE5D59"/>
    <w:rsid w:val="00F87E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6BB970"/>
  <w15:chartTrackingRefBased/>
  <w15:docId w15:val="{13F829A7-1AA4-4D33-BCF0-6701777B4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A5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2A5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72A56"/>
    <w:rPr>
      <w:sz w:val="18"/>
      <w:szCs w:val="18"/>
    </w:rPr>
  </w:style>
  <w:style w:type="paragraph" w:styleId="a5">
    <w:name w:val="footer"/>
    <w:basedOn w:val="a"/>
    <w:link w:val="a6"/>
    <w:uiPriority w:val="99"/>
    <w:unhideWhenUsed/>
    <w:rsid w:val="00072A56"/>
    <w:pPr>
      <w:tabs>
        <w:tab w:val="center" w:pos="4153"/>
        <w:tab w:val="right" w:pos="8306"/>
      </w:tabs>
      <w:snapToGrid w:val="0"/>
      <w:jc w:val="left"/>
    </w:pPr>
    <w:rPr>
      <w:sz w:val="18"/>
      <w:szCs w:val="18"/>
    </w:rPr>
  </w:style>
  <w:style w:type="character" w:customStyle="1" w:styleId="a6">
    <w:name w:val="页脚 字符"/>
    <w:basedOn w:val="a0"/>
    <w:link w:val="a5"/>
    <w:uiPriority w:val="99"/>
    <w:rsid w:val="00072A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585</Words>
  <Characters>3340</Characters>
  <Application>Microsoft Office Word</Application>
  <DocSecurity>0</DocSecurity>
  <Lines>27</Lines>
  <Paragraphs>7</Paragraphs>
  <ScaleCrop>false</ScaleCrop>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陈威</dc:creator>
  <cp:keywords/>
  <dc:description/>
  <cp:lastModifiedBy>陈威</cp:lastModifiedBy>
  <cp:revision>3</cp:revision>
  <dcterms:created xsi:type="dcterms:W3CDTF">2022-05-15T07:43:00Z</dcterms:created>
  <dcterms:modified xsi:type="dcterms:W3CDTF">2022-10-22T05:07:00Z</dcterms:modified>
</cp:coreProperties>
</file>