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C0562" w14:textId="77777777" w:rsidR="005477B0" w:rsidRPr="005477B0" w:rsidRDefault="005477B0" w:rsidP="005477B0">
      <w:pPr>
        <w:jc w:val="center"/>
        <w:rPr>
          <w:rFonts w:ascii="Helvetica" w:hAnsi="Helvetica"/>
          <w:sz w:val="32"/>
          <w:szCs w:val="32"/>
          <w:lang w:val="en-US"/>
        </w:rPr>
      </w:pPr>
      <w:r w:rsidRPr="005477B0">
        <w:rPr>
          <w:rFonts w:ascii="Helvetica" w:hAnsi="Helvetica"/>
          <w:sz w:val="32"/>
          <w:szCs w:val="32"/>
          <w:lang w:val="en-US"/>
        </w:rPr>
        <w:t>SUPPLEMENTARY DATA</w:t>
      </w:r>
    </w:p>
    <w:p w14:paraId="03375CEB" w14:textId="77777777" w:rsidR="005477B0" w:rsidRPr="005477B0" w:rsidRDefault="005477B0" w:rsidP="005477B0">
      <w:pPr>
        <w:spacing w:line="360" w:lineRule="auto"/>
        <w:rPr>
          <w:rFonts w:ascii="Helvetica" w:hAnsi="Helvetica"/>
          <w:b/>
          <w:bCs/>
          <w:sz w:val="28"/>
          <w:szCs w:val="28"/>
          <w:lang w:val="en-US"/>
        </w:rPr>
      </w:pPr>
    </w:p>
    <w:p w14:paraId="25C0E13A" w14:textId="77777777" w:rsidR="009A21AE" w:rsidRPr="009A21AE" w:rsidRDefault="009A21AE" w:rsidP="009A21AE">
      <w:pPr>
        <w:spacing w:line="360" w:lineRule="auto"/>
        <w:jc w:val="center"/>
        <w:rPr>
          <w:rFonts w:ascii="Helvetica" w:hAnsi="Helvetica"/>
          <w:b/>
          <w:bCs/>
          <w:sz w:val="28"/>
          <w:szCs w:val="28"/>
          <w:lang w:val="en-US"/>
        </w:rPr>
      </w:pPr>
      <w:r w:rsidRPr="009A21AE">
        <w:rPr>
          <w:rFonts w:ascii="Helvetica" w:hAnsi="Helvetica"/>
          <w:b/>
          <w:bCs/>
          <w:sz w:val="28"/>
          <w:szCs w:val="28"/>
          <w:lang w:val="en-US"/>
        </w:rPr>
        <w:t xml:space="preserve">Geodynamic seawater-sediment porewater evolution of the east central </w:t>
      </w:r>
      <w:proofErr w:type="gramStart"/>
      <w:r w:rsidRPr="009A21AE">
        <w:rPr>
          <w:rFonts w:ascii="Helvetica" w:hAnsi="Helvetica"/>
          <w:b/>
          <w:bCs/>
          <w:sz w:val="28"/>
          <w:szCs w:val="28"/>
          <w:lang w:val="en-US"/>
        </w:rPr>
        <w:t>Atlantic Paleogene ocean</w:t>
      </w:r>
      <w:proofErr w:type="gramEnd"/>
      <w:r w:rsidRPr="009A21AE">
        <w:rPr>
          <w:rFonts w:ascii="Helvetica" w:hAnsi="Helvetica"/>
          <w:b/>
          <w:bCs/>
          <w:sz w:val="28"/>
          <w:szCs w:val="28"/>
          <w:lang w:val="en-US"/>
        </w:rPr>
        <w:t xml:space="preserve"> margin revealed by U-Pb dating of sedimentary phosphates</w:t>
      </w:r>
    </w:p>
    <w:p w14:paraId="2072A2FE" w14:textId="77777777" w:rsidR="005477B0" w:rsidRPr="009A21AE" w:rsidRDefault="005477B0" w:rsidP="005477B0">
      <w:pPr>
        <w:spacing w:line="360" w:lineRule="auto"/>
        <w:jc w:val="both"/>
        <w:rPr>
          <w:rFonts w:ascii="Helvetica" w:hAnsi="Helvetica"/>
          <w:lang w:val="en-US"/>
        </w:rPr>
      </w:pPr>
    </w:p>
    <w:p w14:paraId="68E3B593" w14:textId="77777777" w:rsidR="005477B0" w:rsidRPr="00BC0EFC" w:rsidRDefault="005477B0" w:rsidP="005477B0">
      <w:pPr>
        <w:spacing w:line="360" w:lineRule="auto"/>
        <w:jc w:val="both"/>
        <w:rPr>
          <w:rFonts w:ascii="Helvetica" w:hAnsi="Helvetica"/>
        </w:rPr>
      </w:pPr>
      <w:r w:rsidRPr="00BC0EFC">
        <w:rPr>
          <w:rFonts w:ascii="Helvetica" w:hAnsi="Helvetica"/>
        </w:rPr>
        <w:t>Jérémie Aubineau</w:t>
      </w:r>
      <w:r w:rsidRPr="00BC0EFC">
        <w:rPr>
          <w:rFonts w:ascii="Helvetica" w:hAnsi="Helvetica"/>
          <w:vertAlign w:val="superscript"/>
        </w:rPr>
        <w:t>1</w:t>
      </w:r>
      <w:r w:rsidRPr="00BC0EFC">
        <w:rPr>
          <w:rFonts w:ascii="Helvetica" w:hAnsi="Helvetica"/>
        </w:rPr>
        <w:t>*, Fleurice Parat</w:t>
      </w:r>
      <w:r w:rsidRPr="00BC0EFC">
        <w:rPr>
          <w:rFonts w:ascii="Helvetica" w:hAnsi="Helvetica"/>
          <w:vertAlign w:val="superscript"/>
        </w:rPr>
        <w:t>1</w:t>
      </w:r>
      <w:r w:rsidRPr="00BC0EFC">
        <w:rPr>
          <w:rFonts w:ascii="Helvetica" w:hAnsi="Helvetica"/>
        </w:rPr>
        <w:t>, Ernest Chi Fru</w:t>
      </w:r>
      <w:r w:rsidRPr="00BC0EFC">
        <w:rPr>
          <w:rFonts w:ascii="Helvetica" w:hAnsi="Helvetica"/>
          <w:vertAlign w:val="superscript"/>
        </w:rPr>
        <w:t>2</w:t>
      </w:r>
      <w:r w:rsidRPr="00BC0EFC">
        <w:rPr>
          <w:rFonts w:ascii="Helvetica" w:hAnsi="Helvetica"/>
        </w:rPr>
        <w:t xml:space="preserve">, </w:t>
      </w:r>
      <w:proofErr w:type="spellStart"/>
      <w:r w:rsidRPr="00BC0EFC">
        <w:rPr>
          <w:rFonts w:ascii="Helvetica" w:hAnsi="Helvetica"/>
        </w:rPr>
        <w:t>Radouan</w:t>
      </w:r>
      <w:proofErr w:type="spellEnd"/>
      <w:r w:rsidRPr="00BC0EFC">
        <w:rPr>
          <w:rFonts w:ascii="Helvetica" w:hAnsi="Helvetica"/>
        </w:rPr>
        <w:t xml:space="preserve"> El Bamiki</w:t>
      </w:r>
      <w:r w:rsidRPr="00BC0EFC">
        <w:rPr>
          <w:rFonts w:ascii="Helvetica" w:hAnsi="Helvetica"/>
          <w:vertAlign w:val="superscript"/>
        </w:rPr>
        <w:t>3</w:t>
      </w:r>
      <w:r w:rsidRPr="00BC0EFC">
        <w:rPr>
          <w:rFonts w:ascii="Helvetica" w:hAnsi="Helvetica"/>
        </w:rPr>
        <w:t>, Olivia Mauguin</w:t>
      </w:r>
      <w:r w:rsidRPr="00BC0EFC">
        <w:rPr>
          <w:rFonts w:ascii="Helvetica" w:hAnsi="Helvetica"/>
          <w:vertAlign w:val="superscript"/>
        </w:rPr>
        <w:t>1</w:t>
      </w:r>
      <w:r w:rsidRPr="00BC0EFC">
        <w:rPr>
          <w:rFonts w:ascii="Helvetica" w:hAnsi="Helvetica"/>
        </w:rPr>
        <w:t>, Fabien Baron</w:t>
      </w:r>
      <w:r w:rsidRPr="00BC0EFC">
        <w:rPr>
          <w:rFonts w:ascii="Helvetica" w:hAnsi="Helvetica"/>
          <w:vertAlign w:val="superscript"/>
        </w:rPr>
        <w:t>4</w:t>
      </w:r>
      <w:r w:rsidRPr="00BC0EFC">
        <w:rPr>
          <w:rFonts w:ascii="Helvetica" w:hAnsi="Helvetica"/>
        </w:rPr>
        <w:t>, Marc Poujol</w:t>
      </w:r>
      <w:r w:rsidRPr="00BC0EFC">
        <w:rPr>
          <w:rFonts w:ascii="Helvetica" w:hAnsi="Helvetica"/>
          <w:vertAlign w:val="superscript"/>
        </w:rPr>
        <w:t>5</w:t>
      </w:r>
      <w:r w:rsidRPr="00BC0EFC">
        <w:rPr>
          <w:rFonts w:ascii="Helvetica" w:hAnsi="Helvetica"/>
        </w:rPr>
        <w:t xml:space="preserve"> &amp; Michel Séranne</w:t>
      </w:r>
      <w:r w:rsidRPr="00BC0EFC">
        <w:rPr>
          <w:rFonts w:ascii="Helvetica" w:hAnsi="Helvetica"/>
          <w:vertAlign w:val="superscript"/>
        </w:rPr>
        <w:t>1</w:t>
      </w:r>
    </w:p>
    <w:p w14:paraId="02B9B74D" w14:textId="77777777" w:rsidR="005477B0" w:rsidRPr="00BC0EFC" w:rsidRDefault="005477B0" w:rsidP="005477B0">
      <w:pPr>
        <w:spacing w:line="360" w:lineRule="auto"/>
        <w:jc w:val="both"/>
        <w:rPr>
          <w:rFonts w:ascii="Helvetica" w:hAnsi="Helvetica"/>
        </w:rPr>
      </w:pPr>
    </w:p>
    <w:p w14:paraId="29B9B1DB" w14:textId="77777777" w:rsidR="005477B0" w:rsidRPr="00BC0EFC" w:rsidRDefault="005477B0" w:rsidP="005477B0">
      <w:pPr>
        <w:spacing w:line="360" w:lineRule="auto"/>
        <w:jc w:val="both"/>
        <w:rPr>
          <w:rFonts w:ascii="Helvetica" w:hAnsi="Helvetica"/>
        </w:rPr>
      </w:pPr>
      <w:r w:rsidRPr="00BC0EFC">
        <w:rPr>
          <w:rFonts w:ascii="Helvetica" w:hAnsi="Helvetica"/>
          <w:vertAlign w:val="superscript"/>
        </w:rPr>
        <w:t>1</w:t>
      </w:r>
      <w:r w:rsidRPr="00BC0EFC">
        <w:rPr>
          <w:rFonts w:ascii="Helvetica" w:hAnsi="Helvetica"/>
        </w:rPr>
        <w:t>Géosciences Montpellier, Université de Montpellier, CNRS UMR 5243, Montpellier, France</w:t>
      </w:r>
    </w:p>
    <w:p w14:paraId="53E8F0D5" w14:textId="77777777" w:rsidR="005477B0" w:rsidRPr="005477B0" w:rsidRDefault="005477B0" w:rsidP="005477B0">
      <w:pPr>
        <w:spacing w:line="360" w:lineRule="auto"/>
        <w:jc w:val="both"/>
        <w:rPr>
          <w:rFonts w:ascii="Helvetica" w:hAnsi="Helvetica"/>
          <w:lang w:val="en-US"/>
        </w:rPr>
      </w:pPr>
      <w:r w:rsidRPr="005477B0">
        <w:rPr>
          <w:rFonts w:ascii="Helvetica" w:hAnsi="Helvetica"/>
          <w:vertAlign w:val="superscript"/>
          <w:lang w:val="en-US"/>
        </w:rPr>
        <w:t>2</w:t>
      </w:r>
      <w:r w:rsidRPr="005477B0">
        <w:rPr>
          <w:rFonts w:ascii="Helvetica" w:hAnsi="Helvetica"/>
          <w:lang w:val="en-US"/>
        </w:rPr>
        <w:t>Center of Geobiology and Geochemistry, School of Earth and Ocean Sciences, College of Physical Sciences and Engineering, Cardiff University, Cardiff CF10 3AT Wales, UK</w:t>
      </w:r>
    </w:p>
    <w:p w14:paraId="2A6BF6CB" w14:textId="77777777" w:rsidR="005477B0" w:rsidRPr="005477B0" w:rsidRDefault="005477B0" w:rsidP="005477B0">
      <w:pPr>
        <w:spacing w:line="360" w:lineRule="auto"/>
        <w:jc w:val="both"/>
        <w:rPr>
          <w:rFonts w:ascii="Helvetica" w:hAnsi="Helvetica"/>
          <w:lang w:val="en-US"/>
        </w:rPr>
      </w:pPr>
      <w:r w:rsidRPr="005477B0">
        <w:rPr>
          <w:rFonts w:ascii="Helvetica" w:hAnsi="Helvetica"/>
          <w:vertAlign w:val="superscript"/>
          <w:lang w:val="en-US"/>
        </w:rPr>
        <w:t>3</w:t>
      </w:r>
      <w:r w:rsidRPr="005477B0">
        <w:rPr>
          <w:rFonts w:ascii="Helvetica" w:hAnsi="Helvetica"/>
          <w:lang w:val="en-US"/>
        </w:rPr>
        <w:t xml:space="preserve">Mohammed VI Polytechnic University, Geology and Sustainable Mining, Ben </w:t>
      </w:r>
      <w:proofErr w:type="spellStart"/>
      <w:r w:rsidRPr="005477B0">
        <w:rPr>
          <w:rFonts w:ascii="Helvetica" w:hAnsi="Helvetica"/>
          <w:lang w:val="en-US"/>
        </w:rPr>
        <w:t>Guerir</w:t>
      </w:r>
      <w:proofErr w:type="spellEnd"/>
      <w:r w:rsidRPr="005477B0">
        <w:rPr>
          <w:rFonts w:ascii="Helvetica" w:hAnsi="Helvetica"/>
          <w:lang w:val="en-US"/>
        </w:rPr>
        <w:t>, Morocco</w:t>
      </w:r>
    </w:p>
    <w:p w14:paraId="0AE7944E" w14:textId="77777777" w:rsidR="005477B0" w:rsidRPr="00BC0EFC" w:rsidRDefault="005477B0" w:rsidP="005477B0">
      <w:pPr>
        <w:spacing w:line="360" w:lineRule="auto"/>
        <w:jc w:val="both"/>
        <w:rPr>
          <w:rFonts w:ascii="Helvetica" w:hAnsi="Helvetica"/>
        </w:rPr>
      </w:pPr>
      <w:r w:rsidRPr="00BC0EFC">
        <w:rPr>
          <w:rFonts w:ascii="Helvetica" w:hAnsi="Helvetica"/>
          <w:vertAlign w:val="superscript"/>
        </w:rPr>
        <w:t>4</w:t>
      </w:r>
      <w:r w:rsidRPr="00BC0EFC">
        <w:rPr>
          <w:rFonts w:ascii="Helvetica" w:hAnsi="Helvetica"/>
        </w:rPr>
        <w:t>IC2MP, Université de Poitiers, CNRS UMR 7285, Poitiers, France</w:t>
      </w:r>
    </w:p>
    <w:p w14:paraId="71311D8B" w14:textId="77777777" w:rsidR="005477B0" w:rsidRPr="00BC0EFC" w:rsidRDefault="005477B0" w:rsidP="005477B0">
      <w:pPr>
        <w:spacing w:line="360" w:lineRule="auto"/>
        <w:jc w:val="both"/>
        <w:rPr>
          <w:rFonts w:ascii="Helvetica" w:hAnsi="Helvetica"/>
        </w:rPr>
      </w:pPr>
      <w:r w:rsidRPr="00BC0EFC">
        <w:rPr>
          <w:rFonts w:ascii="Helvetica" w:hAnsi="Helvetica"/>
          <w:vertAlign w:val="superscript"/>
        </w:rPr>
        <w:t>5</w:t>
      </w:r>
      <w:r w:rsidRPr="00BC0EFC">
        <w:rPr>
          <w:rFonts w:ascii="Helvetica" w:hAnsi="Helvetica"/>
        </w:rPr>
        <w:t>Univ Rennes, CNRS, Géosciences Rennes, UMR 6118, 35000 Rennes, France</w:t>
      </w:r>
    </w:p>
    <w:p w14:paraId="044759F5" w14:textId="77777777" w:rsidR="005477B0" w:rsidRPr="00BC0EFC" w:rsidRDefault="005477B0" w:rsidP="005477B0">
      <w:pPr>
        <w:spacing w:line="360" w:lineRule="auto"/>
        <w:jc w:val="both"/>
        <w:rPr>
          <w:rFonts w:ascii="Helvetica" w:hAnsi="Helvetica"/>
        </w:rPr>
      </w:pPr>
    </w:p>
    <w:p w14:paraId="4052B43E" w14:textId="77777777" w:rsidR="005477B0" w:rsidRPr="005477B0" w:rsidRDefault="005477B0" w:rsidP="005477B0">
      <w:pPr>
        <w:spacing w:line="360" w:lineRule="auto"/>
        <w:jc w:val="both"/>
        <w:rPr>
          <w:rFonts w:ascii="Helvetica" w:hAnsi="Helvetica"/>
          <w:lang w:val="en-US"/>
        </w:rPr>
      </w:pPr>
      <w:r w:rsidRPr="005477B0">
        <w:rPr>
          <w:rFonts w:ascii="Helvetica" w:hAnsi="Helvetica"/>
          <w:lang w:val="en-US"/>
        </w:rPr>
        <w:t>*</w:t>
      </w:r>
      <w:proofErr w:type="gramStart"/>
      <w:r w:rsidRPr="005477B0">
        <w:rPr>
          <w:rFonts w:ascii="Helvetica" w:hAnsi="Helvetica"/>
          <w:lang w:val="en-US"/>
        </w:rPr>
        <w:t>corresponding</w:t>
      </w:r>
      <w:proofErr w:type="gramEnd"/>
      <w:r w:rsidRPr="005477B0">
        <w:rPr>
          <w:rFonts w:ascii="Helvetica" w:hAnsi="Helvetica"/>
          <w:lang w:val="en-US"/>
        </w:rPr>
        <w:t xml:space="preserve"> author: jeremie.aubineau@umontpellier.fr</w:t>
      </w:r>
    </w:p>
    <w:p w14:paraId="3FD976C1" w14:textId="77777777" w:rsidR="005477B0" w:rsidRPr="005477B0" w:rsidRDefault="005477B0" w:rsidP="005477B0">
      <w:pPr>
        <w:rPr>
          <w:rFonts w:ascii="Helvetica" w:hAnsi="Helvetica"/>
          <w:lang w:val="en-US"/>
        </w:rPr>
      </w:pPr>
    </w:p>
    <w:p w14:paraId="14ADA7DA" w14:textId="77777777" w:rsidR="005477B0" w:rsidRPr="005477B0" w:rsidRDefault="005477B0" w:rsidP="005477B0">
      <w:pPr>
        <w:rPr>
          <w:rFonts w:ascii="Helvetica" w:hAnsi="Helvetica"/>
          <w:b/>
          <w:bCs/>
          <w:lang w:val="en-US"/>
        </w:rPr>
      </w:pPr>
      <w:r w:rsidRPr="005477B0">
        <w:rPr>
          <w:rFonts w:ascii="Helvetica" w:hAnsi="Helvetica"/>
          <w:b/>
          <w:bCs/>
          <w:lang w:val="en-US"/>
        </w:rPr>
        <w:br w:type="page"/>
      </w:r>
    </w:p>
    <w:p w14:paraId="650D1296" w14:textId="77777777" w:rsidR="005477B0" w:rsidRPr="005477B0" w:rsidRDefault="005477B0" w:rsidP="005477B0">
      <w:pPr>
        <w:spacing w:line="276" w:lineRule="auto"/>
        <w:jc w:val="center"/>
        <w:rPr>
          <w:rFonts w:ascii="Helvetica" w:hAnsi="Helvetica"/>
          <w:b/>
          <w:bCs/>
          <w:noProof/>
          <w:sz w:val="28"/>
          <w:szCs w:val="28"/>
          <w:lang w:val="en-US"/>
        </w:rPr>
      </w:pPr>
      <w:r w:rsidRPr="005477B0">
        <w:rPr>
          <w:rFonts w:ascii="Helvetica" w:hAnsi="Helvetica"/>
          <w:b/>
          <w:bCs/>
          <w:noProof/>
          <w:sz w:val="28"/>
          <w:szCs w:val="28"/>
          <w:lang w:val="en-US"/>
        </w:rPr>
        <w:lastRenderedPageBreak/>
        <w:t>SUPPLEMENTARY METHOD</w:t>
      </w:r>
    </w:p>
    <w:p w14:paraId="418EEDC4" w14:textId="77777777" w:rsidR="005477B0" w:rsidRPr="005477B0" w:rsidRDefault="005477B0" w:rsidP="005477B0">
      <w:pPr>
        <w:spacing w:line="300" w:lineRule="auto"/>
        <w:jc w:val="both"/>
        <w:rPr>
          <w:rFonts w:ascii="Helvetica" w:hAnsi="Helvetica"/>
          <w:i/>
          <w:iCs/>
          <w:lang w:val="en-US"/>
        </w:rPr>
      </w:pPr>
    </w:p>
    <w:p w14:paraId="234459E9" w14:textId="671BE38D" w:rsidR="005477B0" w:rsidRPr="005477B0" w:rsidRDefault="005477B0" w:rsidP="005477B0">
      <w:pPr>
        <w:spacing w:line="360" w:lineRule="auto"/>
        <w:jc w:val="both"/>
        <w:rPr>
          <w:rFonts w:ascii="Helvetica" w:hAnsi="Helvetica"/>
          <w:i/>
          <w:iCs/>
          <w:lang w:val="en-US"/>
        </w:rPr>
      </w:pPr>
      <w:r w:rsidRPr="005477B0">
        <w:rPr>
          <w:rFonts w:ascii="Helvetica" w:hAnsi="Helvetica"/>
          <w:i/>
          <w:iCs/>
          <w:lang w:val="en-US"/>
        </w:rPr>
        <w:t>X-Ray Diffraction (XRD)</w:t>
      </w:r>
      <w:r w:rsidRPr="005477B0">
        <w:rPr>
          <w:rFonts w:ascii="Helvetica" w:hAnsi="Helvetica"/>
          <w:lang w:val="en-US"/>
        </w:rPr>
        <w:t xml:space="preserve">. The &lt;2 µm clay fraction was extracted from gently hand-crushed samples with an ultrasonic agitation device and centrifugal machine in deionized water without any chemical pre-treatment </w:t>
      </w:r>
      <w:r w:rsidRPr="00BC0EFC">
        <w:rPr>
          <w:rFonts w:ascii="Helvetica" w:hAnsi="Helvetica"/>
        </w:rPr>
        <w:fldChar w:fldCharType="begin"/>
      </w:r>
      <w:r w:rsidRPr="005477B0">
        <w:rPr>
          <w:rFonts w:ascii="Helvetica" w:hAnsi="Helvetica"/>
          <w:lang w:val="en-US"/>
        </w:rPr>
        <w:instrText xml:space="preserve"> ADDIN ZOTERO_ITEM CSL_CITATION {"citationID":"2rHckOiZ","properties":{"formattedCitation":"(Moore and Reynolds Jr, 1997)","plainCitation":"(Moore and Reynolds Jr, 1997)","noteIndex":0},"citationItems":[{"id":353,"uris":["http://zotero.org/users/3524343/items/JBUHQXU5"],"itemData":{"id":353,"type":"book","event-place":"New York","number-of-pages":"378","publisher":"Oxford University Press","publisher-place":"New York","title":"X-ray diffraction and the identification and analysis of clay minerals","author":[{"family":"Moore","given":"D. M."},{"family":"Reynolds Jr","given":"R. C."}],"issued":{"date-parts":[["1997"]]}}}],"schema":"https://github.com/citation-style-language/schema/raw/master/csl-citation.json"} </w:instrText>
      </w:r>
      <w:r w:rsidRPr="00BC0EFC">
        <w:rPr>
          <w:rFonts w:ascii="Helvetica" w:hAnsi="Helvetica"/>
        </w:rPr>
        <w:fldChar w:fldCharType="separate"/>
      </w:r>
      <w:r w:rsidR="0016761E">
        <w:rPr>
          <w:rFonts w:ascii="Helvetica" w:hAnsi="Helvetica"/>
          <w:noProof/>
          <w:lang w:val="en-US"/>
        </w:rPr>
        <w:t>(Moore and Reynolds Jr, 1997)</w:t>
      </w:r>
      <w:r w:rsidRPr="00BC0EFC">
        <w:rPr>
          <w:rFonts w:ascii="Helvetica" w:hAnsi="Helvetica"/>
        </w:rPr>
        <w:fldChar w:fldCharType="end"/>
      </w:r>
      <w:r w:rsidRPr="005477B0">
        <w:rPr>
          <w:rFonts w:ascii="Helvetica" w:hAnsi="Helvetica"/>
          <w:lang w:val="en-US"/>
        </w:rPr>
        <w:t>, at IC2MP, University of Poitiers. Oriented preparations were then prepared by sedimentation from ~1 mL of suspension on glass slides at room temperature. Analysis of whole-rock powders was done over an angular range of 4–65° 2</w:t>
      </w:r>
      <w:r w:rsidRPr="00BC0EFC">
        <w:rPr>
          <w:rFonts w:ascii="Helvetica" w:hAnsi="Helvetica"/>
        </w:rPr>
        <w:t>θ</w:t>
      </w:r>
      <w:r w:rsidRPr="005477B0">
        <w:rPr>
          <w:rFonts w:ascii="Helvetica" w:hAnsi="Helvetica"/>
          <w:lang w:val="en-US"/>
        </w:rPr>
        <w:t xml:space="preserve"> and a step size of 0.02° 2</w:t>
      </w:r>
      <w:r w:rsidRPr="00BC0EFC">
        <w:rPr>
          <w:rFonts w:ascii="Helvetica" w:hAnsi="Helvetica"/>
        </w:rPr>
        <w:t>θ</w:t>
      </w:r>
      <w:r w:rsidRPr="005477B0">
        <w:rPr>
          <w:rFonts w:ascii="Helvetica" w:hAnsi="Helvetica"/>
          <w:lang w:val="en-US"/>
        </w:rPr>
        <w:t xml:space="preserve"> per 2 s, while that of oriented slides was performed over an angular range of 2–30° 2</w:t>
      </w:r>
      <w:r w:rsidRPr="00BC0EFC">
        <w:rPr>
          <w:rFonts w:ascii="Helvetica" w:hAnsi="Helvetica"/>
        </w:rPr>
        <w:t>θ</w:t>
      </w:r>
      <w:r w:rsidRPr="005477B0">
        <w:rPr>
          <w:rFonts w:ascii="Helvetica" w:hAnsi="Helvetica"/>
          <w:lang w:val="en-US"/>
        </w:rPr>
        <w:t xml:space="preserve"> and a step size of 0.02° 2</w:t>
      </w:r>
      <w:r w:rsidRPr="00BC0EFC">
        <w:rPr>
          <w:rFonts w:ascii="Helvetica" w:hAnsi="Helvetica"/>
        </w:rPr>
        <w:t>θ</w:t>
      </w:r>
      <w:r w:rsidRPr="005477B0">
        <w:rPr>
          <w:rFonts w:ascii="Helvetica" w:hAnsi="Helvetica"/>
          <w:lang w:val="en-US"/>
        </w:rPr>
        <w:t xml:space="preserve"> per 3 s after successive air-dried (AD) and ethylene glycol (EG) treatment.</w:t>
      </w:r>
    </w:p>
    <w:p w14:paraId="103A1418" w14:textId="77777777" w:rsidR="005477B0" w:rsidRPr="005477B0" w:rsidRDefault="005477B0" w:rsidP="005477B0">
      <w:pPr>
        <w:spacing w:line="360" w:lineRule="auto"/>
        <w:ind w:firstLine="708"/>
        <w:jc w:val="both"/>
        <w:rPr>
          <w:rFonts w:ascii="Helvetica" w:hAnsi="Helvetica"/>
          <w:lang w:val="en-US"/>
        </w:rPr>
      </w:pPr>
      <w:r w:rsidRPr="005477B0">
        <w:rPr>
          <w:rFonts w:ascii="Helvetica" w:hAnsi="Helvetica"/>
          <w:i/>
          <w:iCs/>
          <w:lang w:val="en-US"/>
        </w:rPr>
        <w:t>Electron probe microanalyses (EPMA)</w:t>
      </w:r>
      <w:r w:rsidRPr="005477B0">
        <w:rPr>
          <w:rFonts w:ascii="Helvetica" w:hAnsi="Helvetica"/>
          <w:lang w:val="en-US"/>
        </w:rPr>
        <w:t xml:space="preserve">. Major (Na, Mg, Al, Si, P, K, Ca, </w:t>
      </w:r>
      <w:proofErr w:type="spellStart"/>
      <w:r w:rsidRPr="005477B0">
        <w:rPr>
          <w:rFonts w:ascii="Helvetica" w:hAnsi="Helvetica"/>
          <w:lang w:val="en-US"/>
        </w:rPr>
        <w:t>Ti</w:t>
      </w:r>
      <w:proofErr w:type="spellEnd"/>
      <w:r w:rsidRPr="005477B0">
        <w:rPr>
          <w:rFonts w:ascii="Helvetica" w:hAnsi="Helvetica"/>
          <w:lang w:val="en-US"/>
        </w:rPr>
        <w:t xml:space="preserve">, Mn and Fe) and volatile (F, S, and Cl) element concentrations were measured. The counting time was fixed at 10 s for Ca, P, F, Cl, S, 30 s for Na, Mg, Al, Si, K, Mn, Fe, and 60 s for </w:t>
      </w:r>
      <w:proofErr w:type="spellStart"/>
      <w:r w:rsidRPr="005477B0">
        <w:rPr>
          <w:rFonts w:ascii="Helvetica" w:hAnsi="Helvetica"/>
          <w:lang w:val="en-US"/>
        </w:rPr>
        <w:t>Ti</w:t>
      </w:r>
      <w:proofErr w:type="spellEnd"/>
      <w:r w:rsidRPr="005477B0">
        <w:rPr>
          <w:rFonts w:ascii="Helvetica" w:hAnsi="Helvetica"/>
          <w:lang w:val="en-US"/>
        </w:rPr>
        <w:t xml:space="preserve">. Elemental quantitative maps (F, Na, Si, P, K, Ca, and Fe) were acquired with a focused electron beam, step size of 1 µm and dwell time of 0.1 s. EPMA analyses for each element were calibrated using reference material standards, including albite for Na, forsterite for Mg, aluminum oxide for Al, wollastonite for Si, fluorapatite for P and Ca, orthose for K, titanium oxide for </w:t>
      </w:r>
      <w:proofErr w:type="spellStart"/>
      <w:r w:rsidRPr="005477B0">
        <w:rPr>
          <w:rFonts w:ascii="Helvetica" w:hAnsi="Helvetica"/>
          <w:lang w:val="en-US"/>
        </w:rPr>
        <w:t>Ti</w:t>
      </w:r>
      <w:proofErr w:type="spellEnd"/>
      <w:r w:rsidRPr="005477B0">
        <w:rPr>
          <w:rFonts w:ascii="Helvetica" w:hAnsi="Helvetica"/>
          <w:lang w:val="en-US"/>
        </w:rPr>
        <w:t>, native metal for Mn, hematite for Fe, lithium fluoride for F, baryte for S, and chlorapatite for Cl.</w:t>
      </w:r>
    </w:p>
    <w:p w14:paraId="1F218508" w14:textId="7868BE3F" w:rsidR="005477B0" w:rsidRPr="009A21AE" w:rsidRDefault="005477B0" w:rsidP="005477B0">
      <w:pPr>
        <w:spacing w:line="360" w:lineRule="auto"/>
        <w:ind w:firstLine="708"/>
        <w:jc w:val="both"/>
        <w:rPr>
          <w:rFonts w:ascii="Helvetica" w:hAnsi="Helvetica"/>
          <w:lang w:val="en-US"/>
        </w:rPr>
      </w:pPr>
      <w:r w:rsidRPr="005477B0">
        <w:rPr>
          <w:rFonts w:ascii="Helvetica" w:hAnsi="Helvetica"/>
          <w:i/>
          <w:iCs/>
          <w:lang w:val="en-US"/>
        </w:rPr>
        <w:t>Laser ablation ICP-MS (LA-ICP-MS) analysis</w:t>
      </w:r>
      <w:r w:rsidRPr="005477B0">
        <w:rPr>
          <w:rFonts w:ascii="Helvetica" w:hAnsi="Helvetica"/>
          <w:lang w:val="en-US"/>
        </w:rPr>
        <w:t xml:space="preserve">. LA-ICP-MS measurements consisted of 1 s </w:t>
      </w:r>
      <w:proofErr w:type="spellStart"/>
      <w:r w:rsidRPr="005477B0">
        <w:rPr>
          <w:rFonts w:ascii="Helvetica" w:hAnsi="Helvetica"/>
          <w:lang w:val="en-US"/>
        </w:rPr>
        <w:t>preablation</w:t>
      </w:r>
      <w:proofErr w:type="spellEnd"/>
      <w:r w:rsidRPr="005477B0">
        <w:rPr>
          <w:rFonts w:ascii="Helvetica" w:hAnsi="Helvetica"/>
          <w:lang w:val="en-US"/>
        </w:rPr>
        <w:t xml:space="preserve"> pulse with a spot size of 65 µm. Signals were then acquired, devoting 70 s for the blank and 40 s for elemental measurement. We were not able to use </w:t>
      </w:r>
      <w:proofErr w:type="spellStart"/>
      <w:r w:rsidRPr="005477B0">
        <w:rPr>
          <w:rFonts w:ascii="Helvetica" w:hAnsi="Helvetica"/>
          <w:lang w:val="en-US"/>
        </w:rPr>
        <w:t>CaO</w:t>
      </w:r>
      <w:proofErr w:type="spellEnd"/>
      <w:r w:rsidRPr="005477B0">
        <w:rPr>
          <w:rFonts w:ascii="Helvetica" w:hAnsi="Helvetica"/>
          <w:lang w:val="en-US"/>
        </w:rPr>
        <w:t xml:space="preserve"> concentrations from EPMA analyses as results yielded lower values than theoretical values for CFA minerals. This likely results from highly porous CFA material and the presence of other mineral phases in the Amizmiz phosphorites (see sections 5.1 and 5.3.1). Consequently, a uniform </w:t>
      </w:r>
      <w:proofErr w:type="spellStart"/>
      <w:r w:rsidRPr="005477B0">
        <w:rPr>
          <w:rFonts w:ascii="Helvetica" w:hAnsi="Helvetica"/>
          <w:lang w:val="en-US"/>
        </w:rPr>
        <w:t>CaO</w:t>
      </w:r>
      <w:proofErr w:type="spellEnd"/>
      <w:r w:rsidRPr="005477B0">
        <w:rPr>
          <w:rFonts w:ascii="Helvetica" w:hAnsi="Helvetica"/>
          <w:lang w:val="en-US"/>
        </w:rPr>
        <w:t xml:space="preserve"> concentration of 54 wt.% was chosen as internal standard value, which is thought to best represent the composition of porous CFA peloids in the Moroccan phosphorites </w:t>
      </w:r>
      <w:r w:rsidRPr="00BC0EFC">
        <w:rPr>
          <w:rFonts w:ascii="Helvetica" w:hAnsi="Helvetica"/>
        </w:rPr>
        <w:fldChar w:fldCharType="begin"/>
      </w:r>
      <w:r w:rsidRPr="005477B0">
        <w:rPr>
          <w:rFonts w:ascii="Helvetica" w:hAnsi="Helvetica"/>
          <w:lang w:val="en-US"/>
        </w:rPr>
        <w:instrText xml:space="preserve"> ADDIN ZOTERO_ITEM CSL_CITATION {"citationID":"ybAoPy0n","properties":{"formattedCitation":"(Aubineau et al., 2022)","plainCitation":"(Aubineau et al., 2022)","noteIndex":0},"citationItems":[{"id":1950,"uris":["http://zotero.org/users/3524343/items/LHEDBFH4"],"itemData":{"id":1950,"type":"article-journal","container-title":"Chemical Geology","DOI":"10.1016/j.chemgeo.2022.120818","ISSN":"0009-2541","journalAbbreviation":"Chemical Geology","language":"en","page":"120818","source":"ScienceDirect","title":"Highly variable content of fluorapatite-hosted CO&lt;sub&gt;3&lt;/sub&gt;&lt;sup&gt;2−&lt;/sup&gt; in the Upper Cretaceous/Paleogene phosphorites (Morocco) and implications for paleodepositional conditions","volume":"597","author":[{"family":"Aubineau","given":"Jérémie"},{"family":"Parat","given":"Fleurice"},{"family":"Elghali","given":"Abdellatif"},{"family":"Raji","given":"Otmane"},{"family":"Addou","given":"Aissam"},{"family":"Bonnet","given":"Clément"},{"family":"Muñoz","given":"Manuel"},{"family":"Mauguin","given":"Olivia"},{"family":"Baron","given":"Fabien"},{"family":"Jouti","given":"Moulay Brahim"},{"family":"Yazami","given":"Oussama Khadiri"},{"family":"Bodinier","given":"Jean-Louis"}],"issued":{"date-parts":[["2022",5,20]]}}}],"schema":"https://github.com/citation-style-language/schema/raw/master/csl-citation.json"} </w:instrText>
      </w:r>
      <w:r w:rsidRPr="00BC0EFC">
        <w:rPr>
          <w:rFonts w:ascii="Helvetica" w:hAnsi="Helvetica"/>
        </w:rPr>
        <w:fldChar w:fldCharType="separate"/>
      </w:r>
      <w:r w:rsidR="0016761E">
        <w:rPr>
          <w:rFonts w:ascii="Helvetica" w:hAnsi="Helvetica"/>
          <w:noProof/>
          <w:lang w:val="en-US"/>
        </w:rPr>
        <w:t>(Aubineau et al., 2022)</w:t>
      </w:r>
      <w:r w:rsidRPr="00BC0EFC">
        <w:rPr>
          <w:rFonts w:ascii="Helvetica" w:hAnsi="Helvetica"/>
        </w:rPr>
        <w:fldChar w:fldCharType="end"/>
      </w:r>
      <w:r w:rsidRPr="005477B0">
        <w:rPr>
          <w:rFonts w:ascii="Helvetica" w:hAnsi="Helvetica"/>
          <w:lang w:val="en-US"/>
        </w:rPr>
        <w:t>. For clay analysis, we used SiO</w:t>
      </w:r>
      <w:r w:rsidRPr="005477B0">
        <w:rPr>
          <w:rFonts w:ascii="Helvetica" w:hAnsi="Helvetica"/>
          <w:vertAlign w:val="subscript"/>
          <w:lang w:val="en-US"/>
        </w:rPr>
        <w:t>2</w:t>
      </w:r>
      <w:r w:rsidRPr="005477B0">
        <w:rPr>
          <w:rFonts w:ascii="Helvetica" w:hAnsi="Helvetica"/>
          <w:lang w:val="en-US"/>
        </w:rPr>
        <w:t xml:space="preserve"> concentration of 60.34 wt.% as internal standard value to best represent SiO</w:t>
      </w:r>
      <w:r w:rsidRPr="005477B0">
        <w:rPr>
          <w:rFonts w:ascii="Helvetica" w:hAnsi="Helvetica"/>
          <w:vertAlign w:val="subscript"/>
          <w:lang w:val="en-US"/>
        </w:rPr>
        <w:t>2</w:t>
      </w:r>
      <w:r w:rsidRPr="005477B0">
        <w:rPr>
          <w:rFonts w:ascii="Helvetica" w:hAnsi="Helvetica"/>
          <w:lang w:val="en-US"/>
        </w:rPr>
        <w:t xml:space="preserve"> chemical compositions of palygorskite and sepiolite. This chosen SiO</w:t>
      </w:r>
      <w:r w:rsidRPr="005477B0">
        <w:rPr>
          <w:rFonts w:ascii="Helvetica" w:hAnsi="Helvetica"/>
          <w:vertAlign w:val="subscript"/>
          <w:lang w:val="en-US"/>
        </w:rPr>
        <w:t>2</w:t>
      </w:r>
      <w:r w:rsidRPr="005477B0">
        <w:rPr>
          <w:rFonts w:ascii="Helvetica" w:hAnsi="Helvetica"/>
          <w:lang w:val="en-US"/>
        </w:rPr>
        <w:t xml:space="preserve"> value corresponds to the mean value of n°2 palygorskite (58.85 wt.%) and n°3 sepiolite (61.83 wt.%) from </w:t>
      </w:r>
      <w:r w:rsidRPr="00BC0EFC">
        <w:rPr>
          <w:rFonts w:ascii="Helvetica" w:hAnsi="Helvetica"/>
        </w:rPr>
        <w:fldChar w:fldCharType="begin"/>
      </w:r>
      <w:r w:rsidRPr="005477B0">
        <w:rPr>
          <w:rFonts w:ascii="Helvetica" w:hAnsi="Helvetica"/>
          <w:lang w:val="en-US"/>
        </w:rPr>
        <w:instrText xml:space="preserve"> ADDIN ZOTERO_ITEM CSL_CITATION {"citationID":"0JWmEiez","properties":{"formattedCitation":"(Wilson, 2013)","plainCitation":"(Wilson, 2013)","noteIndex":0},"citationItems":[{"id":1899,"uris":["http://zotero.org/users/3524343/items/UMRPKJ7F"],"itemData":{"id":1899,"type":"book","event-place":"London","publisher":"The Geological Society of London","publisher-place":"London","title":"Rock-Forming Minerals Volume 3C (second ed.) - Sheet Silicates: Clay Minerals","author":[{"family":"Wilson","given":"M. J"}],"issued":{"date-parts":[["2013"]]}}}],"schema":"https://github.com/citation-style-language/schema/raw/master/csl-citation.json"} </w:instrText>
      </w:r>
      <w:r w:rsidRPr="00BC0EFC">
        <w:rPr>
          <w:rFonts w:ascii="Helvetica" w:hAnsi="Helvetica"/>
        </w:rPr>
        <w:fldChar w:fldCharType="separate"/>
      </w:r>
      <w:r w:rsidR="0016761E">
        <w:rPr>
          <w:rFonts w:ascii="Helvetica" w:hAnsi="Helvetica"/>
          <w:noProof/>
          <w:lang w:val="en-US"/>
        </w:rPr>
        <w:t>(Wilson, 2013)</w:t>
      </w:r>
      <w:r w:rsidRPr="00BC0EFC">
        <w:rPr>
          <w:rFonts w:ascii="Helvetica" w:hAnsi="Helvetica"/>
        </w:rPr>
        <w:fldChar w:fldCharType="end"/>
      </w:r>
      <w:r w:rsidRPr="005477B0">
        <w:rPr>
          <w:rFonts w:ascii="Helvetica" w:hAnsi="Helvetica"/>
          <w:lang w:val="en-US"/>
        </w:rPr>
        <w:t xml:space="preserve">. Compared to the Geo-REM database (http://georem.mpch-mainz.gwdg.de), trace element concentrations of measured NIST SRM 612 standards show a mean relative error of &lt;2.5 %. Data reduction were carried out using Glitter software </w:t>
      </w:r>
      <w:r w:rsidRPr="00BC0EFC">
        <w:rPr>
          <w:rFonts w:ascii="Helvetica" w:hAnsi="Helvetica"/>
        </w:rPr>
        <w:fldChar w:fldCharType="begin"/>
      </w:r>
      <w:r w:rsidRPr="005477B0">
        <w:rPr>
          <w:rFonts w:ascii="Helvetica" w:hAnsi="Helvetica"/>
          <w:lang w:val="en-US"/>
        </w:rPr>
        <w:instrText xml:space="preserve"> ADDIN ZOTERO_ITEM CSL_CITATION {"citationID":"4SlckKHS","properties":{"formattedCitation":"(Griffin, 2008)","plainCitation":"(Griffin, 2008)","noteIndex":0},"citationItems":[{"id":1951,"uris":["http://zotero.org/users/3524343/items/7EXKCB8P"],"itemData":{"id":1951,"type":"article-journal","container-title":"Laser Ablation ICP-MS in the Earth Sciences : Current practices and outstanding issues","note":"publisher: Mineralogical Association of Canada","page":"308-311","source":"CiNii","title":"GLITTER: Data reduction software for laser ablation ICP-MS","title-short":"GLITTER","author":[{"family":"Griffin","given":"W. L."}],"issued":{"date-parts":[["2008"]]}}}],"schema":"https://github.com/citation-style-language/schema/raw/master/csl-citation.json"} </w:instrText>
      </w:r>
      <w:r w:rsidRPr="00BC0EFC">
        <w:rPr>
          <w:rFonts w:ascii="Helvetica" w:hAnsi="Helvetica"/>
        </w:rPr>
        <w:fldChar w:fldCharType="separate"/>
      </w:r>
      <w:r w:rsidR="0016761E">
        <w:rPr>
          <w:rFonts w:ascii="Helvetica" w:hAnsi="Helvetica"/>
          <w:noProof/>
          <w:lang w:val="en-US"/>
        </w:rPr>
        <w:t>(Griffin, 2008)</w:t>
      </w:r>
      <w:r w:rsidRPr="00BC0EFC">
        <w:rPr>
          <w:rFonts w:ascii="Helvetica" w:hAnsi="Helvetica"/>
        </w:rPr>
        <w:fldChar w:fldCharType="end"/>
      </w:r>
      <w:r w:rsidRPr="005477B0">
        <w:rPr>
          <w:rFonts w:ascii="Helvetica" w:hAnsi="Helvetica"/>
          <w:lang w:val="en-US"/>
        </w:rPr>
        <w:t xml:space="preserve"> during which time-resolved spectra have been screened for heterogeneities in the analyzed volume. </w:t>
      </w:r>
      <w:r w:rsidRPr="009A21AE">
        <w:rPr>
          <w:rFonts w:ascii="Helvetica" w:hAnsi="Helvetica"/>
          <w:lang w:val="en-US"/>
        </w:rPr>
        <w:t>Also, LA-ICP-MS values were removed if elemental concentrations were lower than the sum of detection limit and standard deviation (1</w:t>
      </w:r>
      <w:r w:rsidRPr="00BC0EFC">
        <w:rPr>
          <w:rFonts w:ascii="Helvetica" w:hAnsi="Helvetica"/>
        </w:rPr>
        <w:sym w:font="Symbol" w:char="F073"/>
      </w:r>
      <w:r w:rsidRPr="009A21AE">
        <w:rPr>
          <w:rFonts w:ascii="Helvetica" w:hAnsi="Helvetica"/>
          <w:lang w:val="en-US"/>
        </w:rPr>
        <w:t>).</w:t>
      </w:r>
    </w:p>
    <w:p w14:paraId="63F9531B" w14:textId="209BC404" w:rsidR="005477B0" w:rsidRPr="009A21AE" w:rsidRDefault="005477B0" w:rsidP="005477B0">
      <w:pPr>
        <w:spacing w:line="360" w:lineRule="auto"/>
        <w:ind w:firstLine="708"/>
        <w:jc w:val="both"/>
        <w:rPr>
          <w:rFonts w:ascii="Helvetica" w:hAnsi="Helvetica"/>
          <w:noProof/>
          <w:lang w:val="en-US"/>
        </w:rPr>
      </w:pPr>
      <w:r w:rsidRPr="009A21AE">
        <w:rPr>
          <w:rFonts w:ascii="Helvetica" w:hAnsi="Helvetica"/>
          <w:i/>
          <w:iCs/>
          <w:lang w:val="en-US"/>
        </w:rPr>
        <w:t>Rare Earth Element + Y (REEY) geochemistry</w:t>
      </w:r>
      <w:r w:rsidRPr="009A21AE">
        <w:rPr>
          <w:rFonts w:ascii="Helvetica" w:hAnsi="Helvetica"/>
          <w:lang w:val="en-US"/>
        </w:rPr>
        <w:t xml:space="preserve">. Post Archean Australian Shale (PAAS) values were used for REEY normalization </w:t>
      </w:r>
      <w:r w:rsidRPr="00BC0EFC">
        <w:rPr>
          <w:rFonts w:ascii="Helvetica" w:hAnsi="Helvetica"/>
        </w:rPr>
        <w:fldChar w:fldCharType="begin"/>
      </w:r>
      <w:r w:rsidRPr="009A21AE">
        <w:rPr>
          <w:rFonts w:ascii="Helvetica" w:hAnsi="Helvetica"/>
          <w:lang w:val="en-US"/>
        </w:rPr>
        <w:instrText xml:space="preserve"> ADDIN ZOTERO_ITEM CSL_CITATION {"citationID":"4TWScqOL","properties":{"formattedCitation":"(Taylor and McLennan, 1985)","plainCitation":"(Taylor and McLennan, 1985)","noteIndex":0},"citationItems":[{"id":479,"uris":["http://zotero.org/users/3524343/items/HLYKBUKY"],"itemData":{"id":479,"type":"book","event-place":"Oxford","publisher":"Blackwell Scientific Puplications","publisher-place":"Oxford","title":"The continental crust: Its composition and evolution","author":[{"family":"Taylor","given":"S.R."},{"family":"McLennan","given":"Scott M"}],"issued":{"date-parts":[["1985"]]}}}],"schema":"https://github.com/citation-style-language/schema/raw/master/csl-citation.json"} </w:instrText>
      </w:r>
      <w:r w:rsidRPr="00BC0EFC">
        <w:rPr>
          <w:rFonts w:ascii="Helvetica" w:hAnsi="Helvetica"/>
        </w:rPr>
        <w:fldChar w:fldCharType="separate"/>
      </w:r>
      <w:r w:rsidR="0016761E">
        <w:rPr>
          <w:rFonts w:ascii="Helvetica" w:hAnsi="Helvetica"/>
          <w:noProof/>
          <w:lang w:val="en-US"/>
        </w:rPr>
        <w:t>(Taylor and McLennan, 1985)</w:t>
      </w:r>
      <w:r w:rsidRPr="00BC0EFC">
        <w:rPr>
          <w:rFonts w:ascii="Helvetica" w:hAnsi="Helvetica"/>
        </w:rPr>
        <w:fldChar w:fldCharType="end"/>
      </w:r>
      <w:r w:rsidRPr="009A21AE">
        <w:rPr>
          <w:rFonts w:ascii="Helvetica" w:hAnsi="Helvetica"/>
          <w:lang w:val="en-US"/>
        </w:rPr>
        <w:t>, hereafter referred to as REEY</w:t>
      </w:r>
      <w:r w:rsidRPr="009A21AE">
        <w:rPr>
          <w:rFonts w:ascii="Helvetica" w:hAnsi="Helvetica"/>
          <w:vertAlign w:val="subscript"/>
          <w:lang w:val="en-US"/>
        </w:rPr>
        <w:t>SN</w:t>
      </w:r>
      <w:r w:rsidRPr="009A21AE">
        <w:rPr>
          <w:rFonts w:ascii="Helvetica" w:hAnsi="Helvetica"/>
          <w:lang w:val="en-US"/>
        </w:rPr>
        <w:t>. In this study, numerous REEY-based proxies were calculated. The bell-shaped index (BSI) allows to estimate the degree of middle REE enrichment relative to light REE and heavy REE and is calculated using the following equation: (2*(</w:t>
      </w:r>
      <w:proofErr w:type="spellStart"/>
      <w:r w:rsidRPr="009A21AE">
        <w:rPr>
          <w:rFonts w:ascii="Helvetica" w:hAnsi="Helvetica"/>
          <w:lang w:val="en-US"/>
        </w:rPr>
        <w:t>Sm</w:t>
      </w:r>
      <w:r w:rsidRPr="009A21AE">
        <w:rPr>
          <w:rFonts w:ascii="Helvetica" w:hAnsi="Helvetica"/>
          <w:vertAlign w:val="subscript"/>
          <w:lang w:val="en-US"/>
        </w:rPr>
        <w:t>SN</w:t>
      </w:r>
      <w:proofErr w:type="spellEnd"/>
      <w:r w:rsidRPr="009A21AE">
        <w:rPr>
          <w:rFonts w:ascii="Helvetica" w:hAnsi="Helvetica"/>
          <w:lang w:val="en-US"/>
        </w:rPr>
        <w:t xml:space="preserve"> + </w:t>
      </w:r>
      <w:proofErr w:type="spellStart"/>
      <w:r w:rsidRPr="009A21AE">
        <w:rPr>
          <w:rFonts w:ascii="Helvetica" w:hAnsi="Helvetica"/>
          <w:lang w:val="en-US"/>
        </w:rPr>
        <w:t>Gd</w:t>
      </w:r>
      <w:r w:rsidRPr="009A21AE">
        <w:rPr>
          <w:rFonts w:ascii="Helvetica" w:hAnsi="Helvetica"/>
          <w:vertAlign w:val="subscript"/>
          <w:lang w:val="en-US"/>
        </w:rPr>
        <w:t>SN</w:t>
      </w:r>
      <w:proofErr w:type="spellEnd"/>
      <w:r w:rsidRPr="009A21AE">
        <w:rPr>
          <w:rFonts w:ascii="Helvetica" w:hAnsi="Helvetica"/>
          <w:lang w:val="en-US"/>
        </w:rPr>
        <w:t xml:space="preserve"> + </w:t>
      </w:r>
      <w:proofErr w:type="spellStart"/>
      <w:r w:rsidRPr="009A21AE">
        <w:rPr>
          <w:rFonts w:ascii="Helvetica" w:hAnsi="Helvetica"/>
          <w:lang w:val="en-US"/>
        </w:rPr>
        <w:t>Dy</w:t>
      </w:r>
      <w:r w:rsidRPr="009A21AE">
        <w:rPr>
          <w:rFonts w:ascii="Helvetica" w:hAnsi="Helvetica"/>
          <w:vertAlign w:val="subscript"/>
          <w:lang w:val="en-US"/>
        </w:rPr>
        <w:t>SN</w:t>
      </w:r>
      <w:proofErr w:type="spellEnd"/>
      <w:r w:rsidRPr="009A21AE">
        <w:rPr>
          <w:rFonts w:ascii="Helvetica" w:hAnsi="Helvetica"/>
          <w:lang w:val="en-US"/>
        </w:rPr>
        <w:t>)/3) / ((</w:t>
      </w:r>
      <w:proofErr w:type="spellStart"/>
      <w:r w:rsidRPr="009A21AE">
        <w:rPr>
          <w:rFonts w:ascii="Helvetica" w:hAnsi="Helvetica"/>
          <w:lang w:val="en-US"/>
        </w:rPr>
        <w:t>La</w:t>
      </w:r>
      <w:r w:rsidRPr="009A21AE">
        <w:rPr>
          <w:rFonts w:ascii="Helvetica" w:hAnsi="Helvetica"/>
          <w:vertAlign w:val="subscript"/>
          <w:lang w:val="en-US"/>
        </w:rPr>
        <w:t>SN</w:t>
      </w:r>
      <w:proofErr w:type="spellEnd"/>
      <w:r w:rsidRPr="009A21AE">
        <w:rPr>
          <w:rFonts w:ascii="Helvetica" w:hAnsi="Helvetica"/>
          <w:lang w:val="en-US"/>
        </w:rPr>
        <w:t xml:space="preserve"> + </w:t>
      </w:r>
      <w:proofErr w:type="spellStart"/>
      <w:r w:rsidRPr="009A21AE">
        <w:rPr>
          <w:rFonts w:ascii="Helvetica" w:hAnsi="Helvetica"/>
          <w:lang w:val="en-US"/>
        </w:rPr>
        <w:t>Pr</w:t>
      </w:r>
      <w:r w:rsidRPr="009A21AE">
        <w:rPr>
          <w:rFonts w:ascii="Helvetica" w:hAnsi="Helvetica"/>
          <w:vertAlign w:val="subscript"/>
          <w:lang w:val="en-US"/>
        </w:rPr>
        <w:t>SN</w:t>
      </w:r>
      <w:proofErr w:type="spellEnd"/>
      <w:r w:rsidRPr="009A21AE">
        <w:rPr>
          <w:rFonts w:ascii="Helvetica" w:hAnsi="Helvetica"/>
          <w:lang w:val="en-US"/>
        </w:rPr>
        <w:t xml:space="preserve"> + </w:t>
      </w:r>
      <w:proofErr w:type="spellStart"/>
      <w:r w:rsidRPr="009A21AE">
        <w:rPr>
          <w:rFonts w:ascii="Helvetica" w:hAnsi="Helvetica"/>
          <w:lang w:val="en-US"/>
        </w:rPr>
        <w:t>Nd</w:t>
      </w:r>
      <w:r w:rsidRPr="009A21AE">
        <w:rPr>
          <w:rFonts w:ascii="Helvetica" w:hAnsi="Helvetica"/>
          <w:vertAlign w:val="subscript"/>
          <w:lang w:val="en-US"/>
        </w:rPr>
        <w:t>SN</w:t>
      </w:r>
      <w:proofErr w:type="spellEnd"/>
      <w:r w:rsidRPr="009A21AE">
        <w:rPr>
          <w:rFonts w:ascii="Helvetica" w:hAnsi="Helvetica"/>
          <w:lang w:val="en-US"/>
        </w:rPr>
        <w:t>)/3 + (</w:t>
      </w:r>
      <w:proofErr w:type="spellStart"/>
      <w:r w:rsidRPr="009A21AE">
        <w:rPr>
          <w:rFonts w:ascii="Helvetica" w:hAnsi="Helvetica"/>
          <w:lang w:val="en-US"/>
        </w:rPr>
        <w:t>Ho</w:t>
      </w:r>
      <w:r w:rsidRPr="009A21AE">
        <w:rPr>
          <w:rFonts w:ascii="Helvetica" w:hAnsi="Helvetica"/>
          <w:vertAlign w:val="subscript"/>
          <w:lang w:val="en-US"/>
        </w:rPr>
        <w:t>SN</w:t>
      </w:r>
      <w:proofErr w:type="spellEnd"/>
      <w:r w:rsidRPr="009A21AE">
        <w:rPr>
          <w:rFonts w:ascii="Helvetica" w:hAnsi="Helvetica"/>
          <w:lang w:val="en-US"/>
        </w:rPr>
        <w:t xml:space="preserve"> + </w:t>
      </w:r>
      <w:proofErr w:type="spellStart"/>
      <w:r w:rsidRPr="009A21AE">
        <w:rPr>
          <w:rFonts w:ascii="Helvetica" w:hAnsi="Helvetica"/>
          <w:lang w:val="en-US"/>
        </w:rPr>
        <w:t>Er</w:t>
      </w:r>
      <w:r w:rsidRPr="009A21AE">
        <w:rPr>
          <w:rFonts w:ascii="Helvetica" w:hAnsi="Helvetica"/>
          <w:vertAlign w:val="subscript"/>
          <w:lang w:val="en-US"/>
        </w:rPr>
        <w:t>SN</w:t>
      </w:r>
      <w:proofErr w:type="spellEnd"/>
      <w:r w:rsidRPr="009A21AE">
        <w:rPr>
          <w:rFonts w:ascii="Helvetica" w:hAnsi="Helvetica"/>
          <w:lang w:val="en-US"/>
        </w:rPr>
        <w:t xml:space="preserve"> + </w:t>
      </w:r>
      <w:proofErr w:type="spellStart"/>
      <w:r w:rsidRPr="009A21AE">
        <w:rPr>
          <w:rFonts w:ascii="Helvetica" w:hAnsi="Helvetica"/>
          <w:lang w:val="en-US"/>
        </w:rPr>
        <w:t>Tm</w:t>
      </w:r>
      <w:r w:rsidRPr="009A21AE">
        <w:rPr>
          <w:rFonts w:ascii="Helvetica" w:hAnsi="Helvetica"/>
          <w:vertAlign w:val="subscript"/>
          <w:lang w:val="en-US"/>
        </w:rPr>
        <w:t>SN</w:t>
      </w:r>
      <w:proofErr w:type="spellEnd"/>
      <w:r w:rsidRPr="009A21AE">
        <w:rPr>
          <w:rFonts w:ascii="Helvetica" w:hAnsi="Helvetica"/>
          <w:lang w:val="en-US"/>
        </w:rPr>
        <w:t xml:space="preserve"> + </w:t>
      </w:r>
      <w:proofErr w:type="spellStart"/>
      <w:r w:rsidRPr="009A21AE">
        <w:rPr>
          <w:rFonts w:ascii="Helvetica" w:hAnsi="Helvetica"/>
          <w:lang w:val="en-US"/>
        </w:rPr>
        <w:t>Yb</w:t>
      </w:r>
      <w:r w:rsidRPr="009A21AE">
        <w:rPr>
          <w:rFonts w:ascii="Helvetica" w:hAnsi="Helvetica"/>
          <w:vertAlign w:val="subscript"/>
          <w:lang w:val="en-US"/>
        </w:rPr>
        <w:t>SN</w:t>
      </w:r>
      <w:proofErr w:type="spellEnd"/>
      <w:r w:rsidRPr="009A21AE">
        <w:rPr>
          <w:rFonts w:ascii="Helvetica" w:hAnsi="Helvetica"/>
          <w:lang w:val="en-US"/>
        </w:rPr>
        <w:t xml:space="preserve"> + </w:t>
      </w:r>
      <w:proofErr w:type="spellStart"/>
      <w:r w:rsidRPr="009A21AE">
        <w:rPr>
          <w:rFonts w:ascii="Helvetica" w:hAnsi="Helvetica"/>
          <w:lang w:val="en-US"/>
        </w:rPr>
        <w:t>Lu</w:t>
      </w:r>
      <w:r w:rsidRPr="009A21AE">
        <w:rPr>
          <w:rFonts w:ascii="Helvetica" w:hAnsi="Helvetica"/>
          <w:vertAlign w:val="subscript"/>
          <w:lang w:val="en-US"/>
        </w:rPr>
        <w:t>SN</w:t>
      </w:r>
      <w:proofErr w:type="spellEnd"/>
      <w:r w:rsidRPr="009A21AE">
        <w:rPr>
          <w:rFonts w:ascii="Helvetica" w:hAnsi="Helvetica"/>
          <w:lang w:val="en-US"/>
        </w:rPr>
        <w:t xml:space="preserve">)/5) </w:t>
      </w:r>
      <w:r w:rsidRPr="00BC0EFC">
        <w:rPr>
          <w:rFonts w:ascii="Helvetica" w:hAnsi="Helvetica"/>
        </w:rPr>
        <w:fldChar w:fldCharType="begin"/>
      </w:r>
      <w:r w:rsidRPr="009A21AE">
        <w:rPr>
          <w:rFonts w:ascii="Helvetica" w:hAnsi="Helvetica"/>
          <w:lang w:val="en-US"/>
        </w:rPr>
        <w:instrText xml:space="preserve"> ADDIN ZOTERO_ITEM CSL_CITATION {"citationID":"fyhxvdgH","properties":{"formattedCitation":"(Tostevin et al., 2016)","plainCitation":"(Tostevin et al., 2016)","noteIndex":0},"citationItems":[{"id":1952,"uris":["http://zotero.org/users/3524343/items/PKMJR3DU"],"itemData":{"id":1952,"type":"article-journal","abstract":"Rare earth elements and yttrium (REY) have a distinct distribution pattern in seawater, and this pattern may be faithfully preserved in carbonate sediments and rocks. Anomalous concentrations of redox-sensitive cerium (Ce) compared with neighbouring REY originate in oxic water column conditions, and as such, Ce anomalies can provide a potentially useful redox proxy in carbonate-dominated marine settings. The methods used to extract REY from carbonates vary widely, and may suffer from widespread leaching of REY from accessory non-carbonate minerals and organic matter, limiting the application of Ce anomalies for palaeo-redox reconstruction. We have systematically compared different methods on 195 carbonate samples with varying purity (% carbonate) from both modern and ancient environments. We used sequential leaching experiments in nitric acid to identify the most ‘seawater-like’ portion of the carbonate sample where contributions from non-carbonate minerals and organic matter are minimised. We also compared the results of sample dissolution in different types and strengths of acid. Our results confirm that REY concentrations can be inadvertently contaminated by partial leaching of clays and Fe (oxyhydr)oxides during a single-step digestion, and we suggest a pre-leach of 20% of the sample, followed by a partial leach of 40% of the sample to selectively dissolve carbonate. We suggest that REY studies are optimised in carbonates with &gt;85% CaCO3, and show that dolomites behav</w:instrText>
      </w:r>
      <w:r w:rsidRPr="00BC0EFC">
        <w:rPr>
          <w:rFonts w:ascii="Helvetica" w:hAnsi="Helvetica"/>
        </w:rPr>
        <w:instrText xml:space="preserve">e differently during the leaching process and must be treated separately. We present REY patterns for modern carbonate-rich sediments from a range of environments, and show that seawater REY are faithfully preserved in some non-skeletal carbonate, but modified leaching procedures are necessary for impure, unlithified or organic rich carbonate sediments. We combine REY with Fe-speciation data to identify how Fe oxides and clays contribute to the REY signal and explore how the two proxies can be used together to provide a complex and high-resolution redox reconstruction in carbonate-dominated marine environments.","container-title":"Chemical Geology","DOI":"10.1016/j.chemgeo.2016.06.027","ISSN":"0009-2541","journalAbbreviation":"Chemical Geology","language":"en","page":"146-162","source":"ScienceDirect","title":"Effective use of cerium anomalies as a redox proxy in carbonate-dominated marine settings","volume":"438","author":[{"family":"Tostevin","given":"Rosalie"},{"family":"Shields","given":"Graham A."},{"family":"Tarbuck","given":"Gary M."},{"family":"He","given":"Tianchen"},{"family":"Clarkson","given":"Matthew O."},{"family":"Wood","given":"Rachel A."}],"issued":{"date-parts":[["2016",11,2]]}}}],"schema":"https://github.com/citation-style-language/schema/raw/master/csl-citation.json"} </w:instrText>
      </w:r>
      <w:r w:rsidRPr="00BC0EFC">
        <w:rPr>
          <w:rFonts w:ascii="Helvetica" w:hAnsi="Helvetica"/>
        </w:rPr>
        <w:fldChar w:fldCharType="separate"/>
      </w:r>
      <w:r w:rsidR="0016761E">
        <w:rPr>
          <w:rFonts w:ascii="Helvetica" w:hAnsi="Helvetica"/>
          <w:noProof/>
        </w:rPr>
        <w:t>(Tostevin et al., 2016)</w:t>
      </w:r>
      <w:r w:rsidRPr="00BC0EFC">
        <w:rPr>
          <w:rFonts w:ascii="Helvetica" w:hAnsi="Helvetica"/>
        </w:rPr>
        <w:fldChar w:fldCharType="end"/>
      </w:r>
      <w:r w:rsidRPr="00BC0EFC">
        <w:rPr>
          <w:rFonts w:ascii="Helvetica" w:hAnsi="Helvetica"/>
        </w:rPr>
        <w:t xml:space="preserve">. To </w:t>
      </w:r>
      <w:proofErr w:type="spellStart"/>
      <w:r w:rsidRPr="00BC0EFC">
        <w:rPr>
          <w:rFonts w:ascii="Helvetica" w:hAnsi="Helvetica"/>
        </w:rPr>
        <w:t>assess</w:t>
      </w:r>
      <w:proofErr w:type="spellEnd"/>
      <w:r w:rsidRPr="00BC0EFC">
        <w:rPr>
          <w:rFonts w:ascii="Helvetica" w:hAnsi="Helvetica"/>
        </w:rPr>
        <w:t xml:space="preserve"> the REEY </w:t>
      </w:r>
      <w:proofErr w:type="spellStart"/>
      <w:r w:rsidRPr="00BC0EFC">
        <w:rPr>
          <w:rFonts w:ascii="Helvetica" w:hAnsi="Helvetica"/>
        </w:rPr>
        <w:t>behavior</w:t>
      </w:r>
      <w:proofErr w:type="spellEnd"/>
      <w:r w:rsidRPr="00BC0EFC">
        <w:rPr>
          <w:rFonts w:ascii="Helvetica" w:hAnsi="Helvetica"/>
        </w:rPr>
        <w:t xml:space="preserve">, REEY anomalies </w:t>
      </w:r>
      <w:proofErr w:type="spellStart"/>
      <w:r w:rsidRPr="00BC0EFC">
        <w:rPr>
          <w:rFonts w:ascii="Helvetica" w:hAnsi="Helvetica"/>
        </w:rPr>
        <w:t>were</w:t>
      </w:r>
      <w:proofErr w:type="spellEnd"/>
      <w:r w:rsidRPr="00BC0EFC">
        <w:rPr>
          <w:rFonts w:ascii="Helvetica" w:hAnsi="Helvetica"/>
        </w:rPr>
        <w:t xml:space="preserve"> </w:t>
      </w:r>
      <w:proofErr w:type="spellStart"/>
      <w:r w:rsidRPr="00BC0EFC">
        <w:rPr>
          <w:rFonts w:ascii="Helvetica" w:hAnsi="Helvetica"/>
        </w:rPr>
        <w:t>calculated</w:t>
      </w:r>
      <w:proofErr w:type="spellEnd"/>
      <w:r w:rsidRPr="00BC0EFC">
        <w:rPr>
          <w:rFonts w:ascii="Helvetica" w:hAnsi="Helvetica"/>
        </w:rPr>
        <w:t xml:space="preserve"> as </w:t>
      </w:r>
      <w:proofErr w:type="spellStart"/>
      <w:r w:rsidRPr="00BC0EFC">
        <w:rPr>
          <w:rFonts w:ascii="Helvetica" w:hAnsi="Helvetica"/>
        </w:rPr>
        <w:t>follows</w:t>
      </w:r>
      <w:proofErr w:type="spellEnd"/>
      <w:r w:rsidRPr="00BC0EFC">
        <w:rPr>
          <w:rFonts w:ascii="Helvetica" w:hAnsi="Helvetica"/>
        </w:rPr>
        <w:t xml:space="preserve">: Ce </w:t>
      </w:r>
      <w:proofErr w:type="spellStart"/>
      <w:r w:rsidRPr="00BC0EFC">
        <w:rPr>
          <w:rFonts w:ascii="Helvetica" w:hAnsi="Helvetica"/>
        </w:rPr>
        <w:t>anomaly</w:t>
      </w:r>
      <w:proofErr w:type="spellEnd"/>
      <w:r w:rsidRPr="00BC0EFC">
        <w:rPr>
          <w:rFonts w:ascii="Helvetica" w:hAnsi="Helvetica"/>
        </w:rPr>
        <w:t xml:space="preserve"> (Ce/Ce*) = </w:t>
      </w:r>
      <w:proofErr w:type="spellStart"/>
      <w:r w:rsidRPr="00BC0EFC">
        <w:rPr>
          <w:rFonts w:ascii="Helvetica" w:hAnsi="Helvetica"/>
        </w:rPr>
        <w:t>Ce</w:t>
      </w:r>
      <w:r w:rsidRPr="00BC0EFC">
        <w:rPr>
          <w:rFonts w:ascii="Helvetica" w:hAnsi="Helvetica"/>
          <w:vertAlign w:val="subscript"/>
        </w:rPr>
        <w:t>SN</w:t>
      </w:r>
      <w:proofErr w:type="spellEnd"/>
      <w:r w:rsidRPr="00BC0EFC">
        <w:rPr>
          <w:rFonts w:ascii="Helvetica" w:hAnsi="Helvetica"/>
          <w:vertAlign w:val="subscript"/>
        </w:rPr>
        <w:t xml:space="preserve"> </w:t>
      </w:r>
      <w:r w:rsidRPr="00BC0EFC">
        <w:rPr>
          <w:rFonts w:ascii="Helvetica" w:hAnsi="Helvetica"/>
        </w:rPr>
        <w:t>/ (0.5*(</w:t>
      </w:r>
      <w:proofErr w:type="spellStart"/>
      <w:r w:rsidRPr="00BC0EFC">
        <w:rPr>
          <w:rFonts w:ascii="Helvetica" w:hAnsi="Helvetica"/>
        </w:rPr>
        <w:t>La</w:t>
      </w:r>
      <w:r w:rsidRPr="00BC0EFC">
        <w:rPr>
          <w:rFonts w:ascii="Helvetica" w:hAnsi="Helvetica"/>
          <w:vertAlign w:val="subscript"/>
        </w:rPr>
        <w:t>SN</w:t>
      </w:r>
      <w:proofErr w:type="spellEnd"/>
      <w:r w:rsidRPr="00BC0EFC">
        <w:rPr>
          <w:rFonts w:ascii="Helvetica" w:hAnsi="Helvetica"/>
          <w:vertAlign w:val="subscript"/>
        </w:rPr>
        <w:t xml:space="preserve"> </w:t>
      </w:r>
      <w:r w:rsidRPr="00BC0EFC">
        <w:rPr>
          <w:rFonts w:ascii="Helvetica" w:hAnsi="Helvetica"/>
        </w:rPr>
        <w:t xml:space="preserve">+ </w:t>
      </w:r>
      <w:proofErr w:type="spellStart"/>
      <w:r w:rsidRPr="00BC0EFC">
        <w:rPr>
          <w:rFonts w:ascii="Helvetica" w:hAnsi="Helvetica"/>
        </w:rPr>
        <w:t>Pr</w:t>
      </w:r>
      <w:r w:rsidRPr="00BC0EFC">
        <w:rPr>
          <w:rFonts w:ascii="Helvetica" w:hAnsi="Helvetica"/>
          <w:vertAlign w:val="subscript"/>
        </w:rPr>
        <w:t>SN</w:t>
      </w:r>
      <w:proofErr w:type="spellEnd"/>
      <w:r w:rsidRPr="00BC0EFC">
        <w:rPr>
          <w:rFonts w:ascii="Helvetica" w:hAnsi="Helvetica"/>
        </w:rPr>
        <w:t xml:space="preserve">)), Pr </w:t>
      </w:r>
      <w:proofErr w:type="spellStart"/>
      <w:r w:rsidRPr="00BC0EFC">
        <w:rPr>
          <w:rFonts w:ascii="Helvetica" w:hAnsi="Helvetica"/>
        </w:rPr>
        <w:t>anomaly</w:t>
      </w:r>
      <w:proofErr w:type="spellEnd"/>
      <w:r w:rsidRPr="00BC0EFC">
        <w:rPr>
          <w:rFonts w:ascii="Helvetica" w:hAnsi="Helvetica"/>
        </w:rPr>
        <w:t xml:space="preserve"> (Pr/Pr*) = </w:t>
      </w:r>
      <w:proofErr w:type="spellStart"/>
      <w:r w:rsidRPr="00BC0EFC">
        <w:rPr>
          <w:rFonts w:ascii="Helvetica" w:hAnsi="Helvetica"/>
        </w:rPr>
        <w:t>Pr</w:t>
      </w:r>
      <w:r w:rsidRPr="00BC0EFC">
        <w:rPr>
          <w:rFonts w:ascii="Helvetica" w:hAnsi="Helvetica"/>
          <w:vertAlign w:val="subscript"/>
        </w:rPr>
        <w:t>SN</w:t>
      </w:r>
      <w:proofErr w:type="spellEnd"/>
      <w:r w:rsidRPr="00BC0EFC">
        <w:rPr>
          <w:rFonts w:ascii="Helvetica" w:hAnsi="Helvetica"/>
          <w:vertAlign w:val="subscript"/>
        </w:rPr>
        <w:t xml:space="preserve"> </w:t>
      </w:r>
      <w:r w:rsidRPr="00BC0EFC">
        <w:rPr>
          <w:rFonts w:ascii="Helvetica" w:hAnsi="Helvetica"/>
        </w:rPr>
        <w:t>/ 0.5*(</w:t>
      </w:r>
      <w:proofErr w:type="spellStart"/>
      <w:r w:rsidRPr="00BC0EFC">
        <w:rPr>
          <w:rFonts w:ascii="Helvetica" w:hAnsi="Helvetica"/>
        </w:rPr>
        <w:t>Ce</w:t>
      </w:r>
      <w:r w:rsidRPr="00BC0EFC">
        <w:rPr>
          <w:rFonts w:ascii="Helvetica" w:hAnsi="Helvetica"/>
          <w:vertAlign w:val="subscript"/>
        </w:rPr>
        <w:t>SN</w:t>
      </w:r>
      <w:proofErr w:type="spellEnd"/>
      <w:r w:rsidRPr="00BC0EFC">
        <w:rPr>
          <w:rFonts w:ascii="Helvetica" w:hAnsi="Helvetica"/>
        </w:rPr>
        <w:t xml:space="preserve"> + </w:t>
      </w:r>
      <w:proofErr w:type="spellStart"/>
      <w:r w:rsidRPr="00BC0EFC">
        <w:rPr>
          <w:rFonts w:ascii="Helvetica" w:hAnsi="Helvetica"/>
        </w:rPr>
        <w:t>Nd</w:t>
      </w:r>
      <w:r w:rsidRPr="00BC0EFC">
        <w:rPr>
          <w:rFonts w:ascii="Helvetica" w:hAnsi="Helvetica"/>
          <w:vertAlign w:val="subscript"/>
        </w:rPr>
        <w:t>SN</w:t>
      </w:r>
      <w:proofErr w:type="spellEnd"/>
      <w:r w:rsidRPr="00BC0EFC">
        <w:rPr>
          <w:rFonts w:ascii="Helvetica" w:hAnsi="Helvetica"/>
        </w:rPr>
        <w:t xml:space="preserve">), Eu </w:t>
      </w:r>
      <w:proofErr w:type="spellStart"/>
      <w:r w:rsidRPr="00BC0EFC">
        <w:rPr>
          <w:rFonts w:ascii="Helvetica" w:hAnsi="Helvetica"/>
        </w:rPr>
        <w:t>anomaly</w:t>
      </w:r>
      <w:proofErr w:type="spellEnd"/>
      <w:r w:rsidRPr="00BC0EFC">
        <w:rPr>
          <w:rFonts w:ascii="Helvetica" w:hAnsi="Helvetica"/>
        </w:rPr>
        <w:t xml:space="preserve"> (Eu/Eu*) = </w:t>
      </w:r>
      <w:proofErr w:type="spellStart"/>
      <w:r w:rsidRPr="00BC0EFC">
        <w:rPr>
          <w:rFonts w:ascii="Helvetica" w:hAnsi="Helvetica"/>
        </w:rPr>
        <w:t>Eu</w:t>
      </w:r>
      <w:r w:rsidRPr="00BC0EFC">
        <w:rPr>
          <w:rFonts w:ascii="Helvetica" w:hAnsi="Helvetica"/>
          <w:vertAlign w:val="subscript"/>
        </w:rPr>
        <w:t>SN</w:t>
      </w:r>
      <w:proofErr w:type="spellEnd"/>
      <w:r w:rsidRPr="00BC0EFC">
        <w:rPr>
          <w:rFonts w:ascii="Helvetica" w:hAnsi="Helvetica"/>
        </w:rPr>
        <w:t xml:space="preserve"> / (0.66*</w:t>
      </w:r>
      <w:proofErr w:type="spellStart"/>
      <w:r w:rsidRPr="00BC0EFC">
        <w:rPr>
          <w:rFonts w:ascii="Helvetica" w:hAnsi="Helvetica"/>
        </w:rPr>
        <w:t>Sm</w:t>
      </w:r>
      <w:r w:rsidRPr="00BC0EFC">
        <w:rPr>
          <w:rFonts w:ascii="Helvetica" w:hAnsi="Helvetica"/>
          <w:vertAlign w:val="subscript"/>
        </w:rPr>
        <w:t>SN</w:t>
      </w:r>
      <w:proofErr w:type="spellEnd"/>
      <w:r w:rsidRPr="00BC0EFC">
        <w:rPr>
          <w:rFonts w:ascii="Helvetica" w:hAnsi="Helvetica"/>
        </w:rPr>
        <w:t xml:space="preserve"> + 0.33*</w:t>
      </w:r>
      <w:proofErr w:type="spellStart"/>
      <w:r w:rsidRPr="00BC0EFC">
        <w:rPr>
          <w:rFonts w:ascii="Helvetica" w:hAnsi="Helvetica"/>
        </w:rPr>
        <w:t>Tb</w:t>
      </w:r>
      <w:r w:rsidRPr="00BC0EFC">
        <w:rPr>
          <w:rFonts w:ascii="Helvetica" w:hAnsi="Helvetica"/>
          <w:vertAlign w:val="subscript"/>
        </w:rPr>
        <w:t>SN</w:t>
      </w:r>
      <w:proofErr w:type="spellEnd"/>
      <w:r w:rsidRPr="00BC0EFC">
        <w:rPr>
          <w:rFonts w:ascii="Helvetica" w:hAnsi="Helvetica"/>
        </w:rPr>
        <w:t xml:space="preserve">), Gd </w:t>
      </w:r>
      <w:proofErr w:type="spellStart"/>
      <w:r w:rsidRPr="00BC0EFC">
        <w:rPr>
          <w:rFonts w:ascii="Helvetica" w:hAnsi="Helvetica"/>
        </w:rPr>
        <w:t>anomaly</w:t>
      </w:r>
      <w:proofErr w:type="spellEnd"/>
      <w:r w:rsidRPr="00BC0EFC">
        <w:rPr>
          <w:rFonts w:ascii="Helvetica" w:hAnsi="Helvetica"/>
        </w:rPr>
        <w:t xml:space="preserve"> (Gd/Gd*) = </w:t>
      </w:r>
      <w:proofErr w:type="spellStart"/>
      <w:r w:rsidRPr="00BC0EFC">
        <w:rPr>
          <w:rFonts w:ascii="Helvetica" w:hAnsi="Helvetica"/>
        </w:rPr>
        <w:t>Gd</w:t>
      </w:r>
      <w:r w:rsidRPr="00BC0EFC">
        <w:rPr>
          <w:rFonts w:ascii="Helvetica" w:hAnsi="Helvetica"/>
          <w:vertAlign w:val="subscript"/>
        </w:rPr>
        <w:t>SN</w:t>
      </w:r>
      <w:proofErr w:type="spellEnd"/>
      <w:r w:rsidRPr="00BC0EFC">
        <w:rPr>
          <w:rFonts w:ascii="Helvetica" w:hAnsi="Helvetica"/>
        </w:rPr>
        <w:t xml:space="preserve"> / (0.33*</w:t>
      </w:r>
      <w:proofErr w:type="spellStart"/>
      <w:r w:rsidRPr="00BC0EFC">
        <w:rPr>
          <w:rFonts w:ascii="Helvetica" w:hAnsi="Helvetica"/>
        </w:rPr>
        <w:t>Sm</w:t>
      </w:r>
      <w:r w:rsidRPr="00BC0EFC">
        <w:rPr>
          <w:rFonts w:ascii="Helvetica" w:hAnsi="Helvetica"/>
          <w:vertAlign w:val="subscript"/>
        </w:rPr>
        <w:t>SN</w:t>
      </w:r>
      <w:proofErr w:type="spellEnd"/>
      <w:r w:rsidRPr="00BC0EFC">
        <w:rPr>
          <w:rFonts w:ascii="Helvetica" w:hAnsi="Helvetica"/>
        </w:rPr>
        <w:t xml:space="preserve"> + 0.67*</w:t>
      </w:r>
      <w:proofErr w:type="spellStart"/>
      <w:r w:rsidRPr="00BC0EFC">
        <w:rPr>
          <w:rFonts w:ascii="Helvetica" w:hAnsi="Helvetica"/>
        </w:rPr>
        <w:t>Tb</w:t>
      </w:r>
      <w:r w:rsidRPr="00BC0EFC">
        <w:rPr>
          <w:rFonts w:ascii="Helvetica" w:hAnsi="Helvetica"/>
          <w:vertAlign w:val="subscript"/>
        </w:rPr>
        <w:t>SN</w:t>
      </w:r>
      <w:proofErr w:type="spellEnd"/>
      <w:r w:rsidRPr="00BC0EFC">
        <w:rPr>
          <w:rFonts w:ascii="Helvetica" w:hAnsi="Helvetica"/>
        </w:rPr>
        <w:t xml:space="preserve">), and Y </w:t>
      </w:r>
      <w:proofErr w:type="spellStart"/>
      <w:r w:rsidRPr="00BC0EFC">
        <w:rPr>
          <w:rFonts w:ascii="Helvetica" w:hAnsi="Helvetica"/>
        </w:rPr>
        <w:t>anomaly</w:t>
      </w:r>
      <w:proofErr w:type="spellEnd"/>
      <w:r w:rsidRPr="00BC0EFC">
        <w:rPr>
          <w:rFonts w:ascii="Helvetica" w:hAnsi="Helvetica"/>
        </w:rPr>
        <w:t xml:space="preserve"> (Y/Y*) = 2*Y</w:t>
      </w:r>
      <w:r w:rsidRPr="00BC0EFC">
        <w:rPr>
          <w:rFonts w:ascii="Helvetica" w:hAnsi="Helvetica"/>
          <w:vertAlign w:val="subscript"/>
        </w:rPr>
        <w:t>SN</w:t>
      </w:r>
      <w:r w:rsidRPr="00BC0EFC">
        <w:rPr>
          <w:rFonts w:ascii="Helvetica" w:hAnsi="Helvetica"/>
        </w:rPr>
        <w:t xml:space="preserve"> / (</w:t>
      </w:r>
      <w:proofErr w:type="spellStart"/>
      <w:r w:rsidRPr="00BC0EFC">
        <w:rPr>
          <w:rFonts w:ascii="Helvetica" w:hAnsi="Helvetica"/>
        </w:rPr>
        <w:t>Dy</w:t>
      </w:r>
      <w:r w:rsidRPr="00BC0EFC">
        <w:rPr>
          <w:rFonts w:ascii="Helvetica" w:hAnsi="Helvetica"/>
          <w:vertAlign w:val="subscript"/>
        </w:rPr>
        <w:t>SN</w:t>
      </w:r>
      <w:proofErr w:type="spellEnd"/>
      <w:r w:rsidRPr="00BC0EFC">
        <w:rPr>
          <w:rFonts w:ascii="Helvetica" w:hAnsi="Helvetica"/>
        </w:rPr>
        <w:t xml:space="preserve"> + </w:t>
      </w:r>
      <w:proofErr w:type="spellStart"/>
      <w:r w:rsidRPr="00BC0EFC">
        <w:rPr>
          <w:rFonts w:ascii="Helvetica" w:hAnsi="Helvetica"/>
        </w:rPr>
        <w:t>Ho</w:t>
      </w:r>
      <w:r w:rsidRPr="00BC0EFC">
        <w:rPr>
          <w:rFonts w:ascii="Helvetica" w:hAnsi="Helvetica"/>
          <w:vertAlign w:val="subscript"/>
        </w:rPr>
        <w:t>SN</w:t>
      </w:r>
      <w:proofErr w:type="spellEnd"/>
      <w:r w:rsidRPr="00BC0EFC">
        <w:rPr>
          <w:rFonts w:ascii="Helvetica" w:hAnsi="Helvetica"/>
        </w:rPr>
        <w:t xml:space="preserve">) </w:t>
      </w:r>
      <w:r w:rsidRPr="00BC0EFC">
        <w:rPr>
          <w:rFonts w:ascii="Helvetica" w:hAnsi="Helvetica"/>
        </w:rPr>
        <w:fldChar w:fldCharType="begin"/>
      </w:r>
      <w:r w:rsidR="0016761E">
        <w:rPr>
          <w:rFonts w:ascii="Helvetica" w:hAnsi="Helvetica"/>
        </w:rPr>
        <w:instrText xml:space="preserve"> ADDIN ZOTERO_ITEM CSL_CITATION {"citationID":"jjiAczYT","properties":{"formattedCitation":"(Bau and Dulski, 1996; Shields and Stille, 2001; Planavsky et al., 2010)","plainCitation":"(Bau and Dulski, 1996; Shields and Stille, 2001; Planavsky et al., 2010)","noteIndex":0},"citationItems":[{"id":1954,"uris":["http://zotero.org/users/3524343/items/PH8SEMB2"],"itemData":{"id":1954,"type":"article-journal","abstract":"Shale-normalized rare-earths and yttrium (REYsN; Y inserted between Dy and Ho) patterns for detritus-free samples from both the Kuruman and Penge Iron-Formations (IFs) in the Late-Archaean to Early-Palaeoproterozoic Transvaal Supergroup display pronounced heavy rare-earth element (REE) enrichment, and positive anomalies of LasN, EUsN, GdsN, YSN, and ErsN, but neither positive nor negative CeSN anomalies. Excepting CesN and EUsN anomalies, the Transvaal IFs yield all the features that are typical of the REY distribution in Modem seawater. (Eu/Eu*)SN ratios in the Kuruman IF correspond to ratios observed in other IFs of similar age, whereas the Penge IF is characterized by distinctly higher ratios. Within a sequence of eleven adjacent samples (each comprising less than ten microbands) from the Kuruman IF, (Eu/Eu*)SN ratios were found to vary significantly.","container-title":"Precambrian Research","DOI":"10.1016/0301-9268(95)00087-9","ISSN":"03019268","issue":"1-2","journalAbbreviation":"Precambrian Research","language":"en","page":"37-55","source":"DOI.org (Crossref)","title":"Distribution of yttrium and rare-earth elements in the Penge and Kuruman iron-formations, Transvaal Supergroup, South Africa","volume":"79","author":[{"family":"Bau","given":"Michael"},{"family":"Dulski","given":"Peter"}],"issued":{"date-parts":[["1996",7]]}}},{"id":761,"uris":["http://zotero.org/users/3524343/items/9KYXYBIE"],"itemData":{"id":761,"type":"article-journal","abstract":"The ocean and atmosphere were largely anoxic in the early Precambrian, resulting in an Fe cycle that was dramatically di</w:instrText>
      </w:r>
      <w:r w:rsidR="0016761E">
        <w:instrText>ﬀ</w:instrText>
      </w:r>
      <w:r w:rsidR="0016761E">
        <w:rPr>
          <w:rFonts w:ascii="Helvetica" w:hAnsi="Helvetica"/>
        </w:rPr>
        <w:instrText>erent than today’s. Extremely Fe-rich sedimentary deposits—i.e., Fe formations—are the most conspicuous manifestation of this distinct Fe cycle. Rare Earth Element (REE) systematics have long been used as a tool to understand the origin of Fe formations and the corresponding chemistry of the ancient ocean. However, many earlier REE studies of Fe formations have drawn ambiguous conclusions, partially due to analytical limitations and sampling from severely altered units. Here, we present new chemical analyses of Fe formation samples from 18 units, ranging in age from ca. 3.0 to 1.8 billion years old (Ga), which allow a reevaluation of the depositional mechanisms and signiﬁcance of Precambrian Fe formations. There are several temporal trends in our REE and Y dataset that reﬂect shifts in marine redox conditions. In general, Archean Fe formations do not display signiﬁcant shale-normalized negative Ce anomalies, and only Fe formations younger than 1.9 Ga display prominent positive Ce anomalies. Low Y/Ho ratios and high shale-normalized light to heavy REE (LREE/HREE) ratios are also present in ca. 1.9 Ga and younger Fe formations but are essentially absent in their Archean counterparts. These marked differences in Paleoproterozoic versus Archean REE + Y patterns can be explained in terms of varying REE cycling in the water column.","container-title":"Geochimica et Cosmochimica Acta","DOI":"10.1016/j.gca.2010.07.021","ISSN":"00167037","issue":"22","language":"en","page":"6387-6405","source":"Crossref","title":"Rare earth element and yttrium compositions of Archean and Paleoproterozoic Fe formations revisited: New perspectives on the significance and mechanisms of deposition","title-short":"Rare Earth Element and yttrium compositions of Archean and Paleoproterozoic Fe formations revisited","volume":"74","author":[{"family":"Planavsky","given":"Noah J"},{"family":"Bekker","given":"Andrey"},{"family":"Rouxel","given":"Olivier J."},{"family":"Kamber","given":"Balz"},{"family":"Hofmann","given":"Axel"},{"family":"Knudsen","given":"Andrew"},{"family":"Lyons","given":"Timothy W."}],"issued":{"date-parts":[["2010",11]]}}},{"id":1905,"uris":["http://zotero.org/users/3524343/items/4VGKSEVK"],"itemData":{"id":1905,"type":"article-journal","abstract":"Seawater rare-earth element (REE) distributions show heavy REE enrichment and cerium depletion but these characteristics are only rarely found in ancient, marine authigenic minerals such as carbonate fluorapatite and calcite. This enigma may be due to changing REE distributions in seawater through time or to post-depositional redistribution of REE. Differentiating between these two factors is, however, far from straightforward as their relative importance is likely to vary and evidence is often ambiguous. In this article, we present REE as well as strontium and sulphur isotope data for basal Cambrian phosphorites of South China, which confirm the emerging rule of thumb that granular phosphorites seldom reveal extreme departures from the seawater norm, and tend to undergo, therefore, less diagenetic alteration of REE spectra than skeletal apatites and other phosphate-types. This study reveals stratigraphic trends in Ce anomalies (Ce/Ce*) that could be taken to imply the preservation of a palaeoenvironmental signal. However, further investigation of our data shows that such trends in phosphorites can also be caused by post-depositional alteration, which tends to (1) increase REE contents, (2) reverse Ce depletion, (3) alter Eu anomalies, and (4) concentrate preferentially the middle REE (MREE). Further alterati</w:instrText>
      </w:r>
      <w:r w:rsidR="0016761E" w:rsidRPr="0016761E">
        <w:rPr>
          <w:rFonts w:ascii="Helvetica" w:hAnsi="Helvetica"/>
          <w:lang w:val="en-US"/>
        </w:rPr>
        <w:instrText xml:space="preserve">on, which may be due to weathering, has led to HREE depletion, and positive La and Y anomalies (tetrad effect). This is the first study where Ceanom. and phosphate-bound sulphate S-isotope values could be compared for one particular stratigraphic section, which provides us with an additional tool for the interpretation of diagenetic redox conditions. Least altered phosphorites from Meishucun that yield a strongly negative Ceanom. constrain early Cambrian seawater </w:instrText>
      </w:r>
      <w:r w:rsidR="0016761E">
        <w:rPr>
          <w:rFonts w:ascii="Helvetica" w:hAnsi="Helvetica"/>
        </w:rPr>
        <w:instrText>δ</w:instrText>
      </w:r>
      <w:r w:rsidR="0016761E" w:rsidRPr="0016761E">
        <w:rPr>
          <w:rFonts w:ascii="Helvetica" w:hAnsi="Helvetica"/>
          <w:lang w:val="en-US"/>
        </w:rPr>
        <w:instrText xml:space="preserve">34S to about +33‰. We conclude that phosphorite Ceanom. primarily records variations in the local conditions of diagenesis, while outlining some special cases in which diagenetic redox conditions may broadly reflect local bottom-water redox conditions.","collection-title":"Response of the Oceanic / Atmospheric Systems to Past Global Changes","container-title":"Chemical Geology","DOI":"10.1016/S0009-2541(00)00362-4","ISSN":"0009-2541","issue":"1","journalAbbreviation":"Chemical Geology","language":"en","page":"29-48","source":"ScienceDirect","title":"Diagenetic constraints on the use of cerium anomalies as palaeoseawater redox proxies: an isotopic and REE study of Cambrian phosphorites","title-short":"Diagenetic constraints on the use of cerium anomalies as palaeoseawater redox proxies","volume":"175","author":[{"family":"Shields","given":"Graham"},{"family":"Stille","given":"Peter"}],"issued":{"date-parts":[["2001",5,1]]}}}],"schema":"https://github.com/citation-style-language/schema/raw/master/csl-citation.json"} </w:instrText>
      </w:r>
      <w:r w:rsidRPr="00BC0EFC">
        <w:rPr>
          <w:rFonts w:ascii="Helvetica" w:hAnsi="Helvetica"/>
        </w:rPr>
        <w:fldChar w:fldCharType="separate"/>
      </w:r>
      <w:r w:rsidR="0016761E">
        <w:rPr>
          <w:rFonts w:ascii="Helvetica" w:hAnsi="Helvetica"/>
          <w:noProof/>
          <w:lang w:val="en-US"/>
        </w:rPr>
        <w:t>(Bau and Dulski, 1996; Shields and Stille, 2001; Planavsky et al., 2010)</w:t>
      </w:r>
      <w:r w:rsidRPr="00BC0EFC">
        <w:rPr>
          <w:rFonts w:ascii="Helvetica" w:hAnsi="Helvetica"/>
        </w:rPr>
        <w:fldChar w:fldCharType="end"/>
      </w:r>
      <w:r w:rsidRPr="009A21AE">
        <w:rPr>
          <w:rFonts w:ascii="Helvetica" w:hAnsi="Helvetica"/>
          <w:lang w:val="en-US"/>
        </w:rPr>
        <w:t xml:space="preserve">. </w:t>
      </w:r>
      <w:r w:rsidRPr="009A21AE">
        <w:rPr>
          <w:rFonts w:ascii="Helvetica" w:hAnsi="Helvetica"/>
          <w:noProof/>
          <w:lang w:val="en-US"/>
        </w:rPr>
        <w:br w:type="page"/>
      </w:r>
    </w:p>
    <w:p w14:paraId="6EF60C6C" w14:textId="77777777" w:rsidR="005477B0" w:rsidRPr="009A21AE" w:rsidRDefault="005477B0" w:rsidP="005477B0">
      <w:pPr>
        <w:spacing w:line="276" w:lineRule="auto"/>
        <w:jc w:val="center"/>
        <w:rPr>
          <w:rFonts w:ascii="Helvetica" w:hAnsi="Helvetica"/>
          <w:b/>
          <w:bCs/>
          <w:noProof/>
          <w:sz w:val="28"/>
          <w:szCs w:val="28"/>
          <w:lang w:val="en-US"/>
        </w:rPr>
      </w:pPr>
      <w:r w:rsidRPr="009A21AE">
        <w:rPr>
          <w:rFonts w:ascii="Helvetica" w:hAnsi="Helvetica"/>
          <w:b/>
          <w:bCs/>
          <w:noProof/>
          <w:sz w:val="28"/>
          <w:szCs w:val="28"/>
          <w:lang w:val="en-US"/>
        </w:rPr>
        <w:t>SUPPLEMENTARY FIGURES</w:t>
      </w:r>
    </w:p>
    <w:p w14:paraId="70476E5D" w14:textId="77777777" w:rsidR="005477B0" w:rsidRPr="009A21AE" w:rsidRDefault="005477B0" w:rsidP="005477B0">
      <w:pPr>
        <w:spacing w:line="276" w:lineRule="auto"/>
        <w:jc w:val="center"/>
        <w:rPr>
          <w:rFonts w:ascii="Helvetica" w:hAnsi="Helvetica"/>
          <w:b/>
          <w:bCs/>
          <w:noProof/>
          <w:sz w:val="28"/>
          <w:szCs w:val="28"/>
          <w:lang w:val="en-US"/>
        </w:rPr>
      </w:pPr>
    </w:p>
    <w:p w14:paraId="7F61CB9C" w14:textId="77777777" w:rsidR="005477B0" w:rsidRPr="00BC0EFC" w:rsidRDefault="005477B0" w:rsidP="005477B0">
      <w:pPr>
        <w:spacing w:line="276" w:lineRule="auto"/>
        <w:jc w:val="center"/>
        <w:rPr>
          <w:rFonts w:ascii="Helvetica" w:hAnsi="Helvetica"/>
          <w:b/>
          <w:bCs/>
        </w:rPr>
      </w:pPr>
      <w:r w:rsidRPr="00BC0EFC">
        <w:rPr>
          <w:rFonts w:ascii="Helvetica" w:hAnsi="Helvetica"/>
          <w:b/>
          <w:bCs/>
          <w:noProof/>
        </w:rPr>
        <w:drawing>
          <wp:inline distT="0" distB="0" distL="0" distR="0" wp14:anchorId="6B37B154" wp14:editId="529AD3FB">
            <wp:extent cx="3644900" cy="61595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44900" cy="6159500"/>
                    </a:xfrm>
                    <a:prstGeom prst="rect">
                      <a:avLst/>
                    </a:prstGeom>
                  </pic:spPr>
                </pic:pic>
              </a:graphicData>
            </a:graphic>
          </wp:inline>
        </w:drawing>
      </w:r>
    </w:p>
    <w:p w14:paraId="65CD1A2D" w14:textId="77777777" w:rsidR="005477B0" w:rsidRPr="00BC0EFC" w:rsidRDefault="005477B0" w:rsidP="005477B0">
      <w:pPr>
        <w:spacing w:line="276" w:lineRule="auto"/>
        <w:jc w:val="both"/>
        <w:rPr>
          <w:rFonts w:ascii="Helvetica" w:hAnsi="Helvetica"/>
        </w:rPr>
      </w:pPr>
      <w:r w:rsidRPr="009A21AE">
        <w:rPr>
          <w:rFonts w:ascii="Helvetica" w:hAnsi="Helvetica"/>
          <w:b/>
          <w:bCs/>
          <w:lang w:val="en-US"/>
        </w:rPr>
        <w:t>Figure S1</w:t>
      </w:r>
      <w:r w:rsidRPr="009A21AE">
        <w:rPr>
          <w:rFonts w:ascii="Helvetica" w:hAnsi="Helvetica"/>
          <w:lang w:val="en-US"/>
        </w:rPr>
        <w:t xml:space="preserve">. Weighted average </w:t>
      </w:r>
      <w:r w:rsidRPr="009A21AE">
        <w:rPr>
          <w:rFonts w:ascii="Helvetica" w:hAnsi="Helvetica"/>
          <w:vertAlign w:val="superscript"/>
          <w:lang w:val="en-US"/>
        </w:rPr>
        <w:t>207</w:t>
      </w:r>
      <w:r w:rsidRPr="009A21AE">
        <w:rPr>
          <w:rFonts w:ascii="Helvetica" w:hAnsi="Helvetica"/>
          <w:lang w:val="en-US"/>
        </w:rPr>
        <w:t xml:space="preserve">Pb-corrected ages for apatite standards analyzed during this study. </w:t>
      </w:r>
      <w:r w:rsidRPr="00BC0EFC">
        <w:rPr>
          <w:rFonts w:ascii="Helvetica" w:hAnsi="Helvetica"/>
        </w:rPr>
        <w:t>(</w:t>
      </w:r>
      <w:r w:rsidRPr="00BC0EFC">
        <w:rPr>
          <w:rFonts w:ascii="Helvetica" w:hAnsi="Helvetica"/>
          <w:b/>
          <w:bCs/>
        </w:rPr>
        <w:t>a</w:t>
      </w:r>
      <w:r w:rsidRPr="00BC0EFC">
        <w:rPr>
          <w:rFonts w:ascii="Helvetica" w:hAnsi="Helvetica"/>
        </w:rPr>
        <w:t>) Durango apatite and (</w:t>
      </w:r>
      <w:r w:rsidRPr="00BC0EFC">
        <w:rPr>
          <w:rFonts w:ascii="Helvetica" w:hAnsi="Helvetica"/>
          <w:b/>
          <w:bCs/>
        </w:rPr>
        <w:t>b</w:t>
      </w:r>
      <w:r w:rsidRPr="00BC0EFC">
        <w:rPr>
          <w:rFonts w:ascii="Helvetica" w:hAnsi="Helvetica"/>
        </w:rPr>
        <w:t>) McClure apatite.</w:t>
      </w:r>
    </w:p>
    <w:p w14:paraId="08722FF4" w14:textId="77777777" w:rsidR="005477B0" w:rsidRPr="00BC0EFC" w:rsidRDefault="005477B0" w:rsidP="005477B0">
      <w:pPr>
        <w:spacing w:line="276" w:lineRule="auto"/>
        <w:jc w:val="both"/>
        <w:rPr>
          <w:rFonts w:ascii="Helvetica" w:hAnsi="Helvetica"/>
        </w:rPr>
      </w:pPr>
      <w:r w:rsidRPr="00BC0EFC">
        <w:rPr>
          <w:rFonts w:ascii="Helvetica" w:hAnsi="Helvetica"/>
        </w:rPr>
        <w:br w:type="page"/>
      </w:r>
    </w:p>
    <w:p w14:paraId="1FA663EE" w14:textId="77777777" w:rsidR="005477B0" w:rsidRPr="00BC0EFC" w:rsidRDefault="005477B0" w:rsidP="005477B0">
      <w:pPr>
        <w:spacing w:line="276" w:lineRule="auto"/>
        <w:jc w:val="center"/>
        <w:rPr>
          <w:rFonts w:ascii="Helvetica" w:hAnsi="Helvetica"/>
        </w:rPr>
      </w:pPr>
      <w:r w:rsidRPr="00BC0EFC">
        <w:rPr>
          <w:rFonts w:ascii="Helvetica" w:hAnsi="Helvetica"/>
          <w:noProof/>
        </w:rPr>
        <w:drawing>
          <wp:inline distT="0" distB="0" distL="0" distR="0" wp14:anchorId="18C336C0" wp14:editId="1418332D">
            <wp:extent cx="4800600" cy="73025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00600" cy="7302500"/>
                    </a:xfrm>
                    <a:prstGeom prst="rect">
                      <a:avLst/>
                    </a:prstGeom>
                  </pic:spPr>
                </pic:pic>
              </a:graphicData>
            </a:graphic>
          </wp:inline>
        </w:drawing>
      </w:r>
    </w:p>
    <w:p w14:paraId="4D547574" w14:textId="77777777" w:rsidR="005477B0" w:rsidRPr="00BC0EFC" w:rsidRDefault="005477B0" w:rsidP="005477B0">
      <w:pPr>
        <w:spacing w:line="276" w:lineRule="auto"/>
        <w:jc w:val="both"/>
        <w:rPr>
          <w:rFonts w:ascii="Helvetica" w:hAnsi="Helvetica"/>
        </w:rPr>
      </w:pPr>
      <w:r w:rsidRPr="009A21AE">
        <w:rPr>
          <w:rFonts w:ascii="Helvetica" w:hAnsi="Helvetica"/>
          <w:b/>
          <w:bCs/>
          <w:lang w:val="en-US"/>
        </w:rPr>
        <w:t>Figure S2</w:t>
      </w:r>
      <w:r w:rsidRPr="009A21AE">
        <w:rPr>
          <w:rFonts w:ascii="Helvetica" w:hAnsi="Helvetica"/>
          <w:lang w:val="en-US"/>
        </w:rPr>
        <w:t xml:space="preserve">. SEM-BSE images of Amizmiz phosphorites from the Moroccan High Atlas with spatial positions of </w:t>
      </w:r>
      <w:r w:rsidRPr="009A21AE">
        <w:rPr>
          <w:rFonts w:ascii="Helvetica" w:hAnsi="Helvetica"/>
          <w:i/>
          <w:iCs/>
          <w:lang w:val="en-US"/>
        </w:rPr>
        <w:t>in situ</w:t>
      </w:r>
      <w:r w:rsidRPr="009A21AE">
        <w:rPr>
          <w:rFonts w:ascii="Helvetica" w:hAnsi="Helvetica"/>
          <w:lang w:val="en-US"/>
        </w:rPr>
        <w:t xml:space="preserve"> geochemical measurements. Red dots: EPMA; orange and blue stars: LA-ICP-MS analyses on CFA grains and clay matrix, respectively; green stars: U-Pb LA-ICP-MS dating. Data omitted from age calculation in Figure 2 correspond to green stars with a red outline. </w:t>
      </w:r>
      <w:proofErr w:type="spellStart"/>
      <w:r w:rsidRPr="00BC0EFC">
        <w:rPr>
          <w:rFonts w:ascii="Helvetica" w:hAnsi="Helvetica"/>
        </w:rPr>
        <w:t>Scale</w:t>
      </w:r>
      <w:proofErr w:type="spellEnd"/>
      <w:r w:rsidRPr="00BC0EFC">
        <w:rPr>
          <w:rFonts w:ascii="Helvetica" w:hAnsi="Helvetica"/>
        </w:rPr>
        <w:t xml:space="preserve"> bars are 500 µm.</w:t>
      </w:r>
    </w:p>
    <w:p w14:paraId="3C2AD4BC" w14:textId="77777777" w:rsidR="005477B0" w:rsidRPr="00BC0EFC" w:rsidRDefault="005477B0" w:rsidP="005477B0">
      <w:pPr>
        <w:rPr>
          <w:rFonts w:ascii="Helvetica" w:hAnsi="Helvetica"/>
        </w:rPr>
      </w:pPr>
      <w:r w:rsidRPr="00BC0EFC">
        <w:rPr>
          <w:rFonts w:ascii="Helvetica" w:hAnsi="Helvetica"/>
        </w:rPr>
        <w:br w:type="page"/>
      </w:r>
    </w:p>
    <w:p w14:paraId="522FF1DC" w14:textId="77777777" w:rsidR="005477B0" w:rsidRPr="00BC0EFC" w:rsidRDefault="005477B0" w:rsidP="005477B0">
      <w:pPr>
        <w:spacing w:line="276" w:lineRule="auto"/>
        <w:jc w:val="center"/>
        <w:rPr>
          <w:rFonts w:ascii="Helvetica" w:hAnsi="Helvetica"/>
        </w:rPr>
      </w:pPr>
      <w:r w:rsidRPr="00BC0EFC">
        <w:rPr>
          <w:rFonts w:ascii="Helvetica" w:hAnsi="Helvetica"/>
          <w:noProof/>
        </w:rPr>
        <w:drawing>
          <wp:inline distT="0" distB="0" distL="0" distR="0" wp14:anchorId="7F700D80" wp14:editId="08C2E4A2">
            <wp:extent cx="5181600" cy="59690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81600" cy="5969000"/>
                    </a:xfrm>
                    <a:prstGeom prst="rect">
                      <a:avLst/>
                    </a:prstGeom>
                  </pic:spPr>
                </pic:pic>
              </a:graphicData>
            </a:graphic>
          </wp:inline>
        </w:drawing>
      </w:r>
    </w:p>
    <w:p w14:paraId="145E5C4B" w14:textId="77777777" w:rsidR="005477B0" w:rsidRPr="009A21AE" w:rsidRDefault="005477B0" w:rsidP="005477B0">
      <w:pPr>
        <w:spacing w:line="276" w:lineRule="auto"/>
        <w:jc w:val="both"/>
        <w:rPr>
          <w:rFonts w:ascii="Helvetica" w:hAnsi="Helvetica"/>
          <w:lang w:val="en-US"/>
        </w:rPr>
      </w:pPr>
      <w:r w:rsidRPr="009A21AE">
        <w:rPr>
          <w:rFonts w:ascii="Helvetica" w:hAnsi="Helvetica"/>
          <w:b/>
          <w:bCs/>
          <w:lang w:val="en-US"/>
        </w:rPr>
        <w:t>Figure S3</w:t>
      </w:r>
      <w:r w:rsidRPr="009A21AE">
        <w:rPr>
          <w:rFonts w:ascii="Helvetica" w:hAnsi="Helvetica"/>
          <w:lang w:val="en-US"/>
        </w:rPr>
        <w:t>. Elemental points analysis of clay minerals presented in Figures 3d (</w:t>
      </w:r>
      <w:r w:rsidRPr="009A21AE">
        <w:rPr>
          <w:rFonts w:ascii="Helvetica" w:hAnsi="Helvetica"/>
          <w:b/>
          <w:bCs/>
          <w:lang w:val="en-US"/>
        </w:rPr>
        <w:t>a</w:t>
      </w:r>
      <w:r w:rsidRPr="009A21AE">
        <w:rPr>
          <w:rFonts w:ascii="Helvetica" w:hAnsi="Helvetica"/>
          <w:lang w:val="en-US"/>
        </w:rPr>
        <w:t>) and 4e (</w:t>
      </w:r>
      <w:r w:rsidRPr="009A21AE">
        <w:rPr>
          <w:rFonts w:ascii="Helvetica" w:hAnsi="Helvetica"/>
          <w:b/>
          <w:bCs/>
          <w:lang w:val="en-US"/>
        </w:rPr>
        <w:t>b</w:t>
      </w:r>
      <w:r w:rsidRPr="009A21AE">
        <w:rPr>
          <w:rFonts w:ascii="Helvetica" w:hAnsi="Helvetica"/>
          <w:lang w:val="en-US"/>
        </w:rPr>
        <w:t xml:space="preserve">). EDX analyses indicate the presence of Si and Mg and to a lesser extent Al, which confirms the presence of sepiolite/palygorskite. The occurrence of phosphate minerals is related to Ca, F, Na, and P elements. </w:t>
      </w:r>
      <w:proofErr w:type="spellStart"/>
      <w:r w:rsidRPr="009A21AE">
        <w:rPr>
          <w:rFonts w:ascii="Helvetica" w:hAnsi="Helvetica"/>
          <w:lang w:val="en-US"/>
        </w:rPr>
        <w:t>Ir</w:t>
      </w:r>
      <w:proofErr w:type="spellEnd"/>
      <w:r w:rsidRPr="009A21AE">
        <w:rPr>
          <w:rFonts w:ascii="Helvetica" w:hAnsi="Helvetica"/>
          <w:lang w:val="en-US"/>
        </w:rPr>
        <w:t xml:space="preserve"> and Sc elements are absent; their presence resulted from a misinterpretation of the software. </w:t>
      </w:r>
    </w:p>
    <w:p w14:paraId="030754C9" w14:textId="77777777" w:rsidR="005477B0" w:rsidRPr="009A21AE" w:rsidRDefault="005477B0" w:rsidP="005477B0">
      <w:pPr>
        <w:rPr>
          <w:rFonts w:ascii="Helvetica" w:hAnsi="Helvetica"/>
          <w:lang w:val="en-US"/>
        </w:rPr>
      </w:pPr>
      <w:r w:rsidRPr="009A21AE">
        <w:rPr>
          <w:rFonts w:ascii="Helvetica" w:hAnsi="Helvetica"/>
          <w:lang w:val="en-US"/>
        </w:rPr>
        <w:br w:type="page"/>
      </w:r>
    </w:p>
    <w:p w14:paraId="4B4C4496" w14:textId="77777777" w:rsidR="005477B0" w:rsidRPr="00BC0EFC" w:rsidRDefault="005477B0" w:rsidP="005477B0">
      <w:pPr>
        <w:spacing w:line="276" w:lineRule="auto"/>
        <w:jc w:val="center"/>
        <w:rPr>
          <w:rFonts w:ascii="Helvetica" w:hAnsi="Helvetica"/>
        </w:rPr>
      </w:pPr>
      <w:r w:rsidRPr="00BC0EFC">
        <w:rPr>
          <w:rFonts w:ascii="Helvetica" w:hAnsi="Helvetica"/>
          <w:noProof/>
        </w:rPr>
        <w:drawing>
          <wp:inline distT="0" distB="0" distL="0" distR="0" wp14:anchorId="37C9DB84" wp14:editId="55F7276D">
            <wp:extent cx="5756910" cy="6559550"/>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910" cy="6559550"/>
                    </a:xfrm>
                    <a:prstGeom prst="rect">
                      <a:avLst/>
                    </a:prstGeom>
                  </pic:spPr>
                </pic:pic>
              </a:graphicData>
            </a:graphic>
          </wp:inline>
        </w:drawing>
      </w:r>
    </w:p>
    <w:p w14:paraId="47F016B8" w14:textId="77777777" w:rsidR="005477B0" w:rsidRPr="009A21AE" w:rsidRDefault="005477B0" w:rsidP="005477B0">
      <w:pPr>
        <w:spacing w:line="276" w:lineRule="auto"/>
        <w:jc w:val="both"/>
        <w:rPr>
          <w:rFonts w:ascii="Helvetica" w:hAnsi="Helvetica"/>
          <w:lang w:val="en-US"/>
        </w:rPr>
      </w:pPr>
      <w:r w:rsidRPr="009A21AE">
        <w:rPr>
          <w:rFonts w:ascii="Helvetica" w:hAnsi="Helvetica"/>
          <w:b/>
          <w:bCs/>
          <w:lang w:val="en-US"/>
        </w:rPr>
        <w:t>Figure S4</w:t>
      </w:r>
      <w:r w:rsidRPr="009A21AE">
        <w:rPr>
          <w:rFonts w:ascii="Helvetica" w:hAnsi="Helvetica"/>
          <w:lang w:val="en-US"/>
        </w:rPr>
        <w:t>. XRD patterns of randomly oriented bulk powders of Amizmiz phosphorites. (</w:t>
      </w:r>
      <w:r w:rsidRPr="009A21AE">
        <w:rPr>
          <w:rFonts w:ascii="Helvetica" w:hAnsi="Helvetica"/>
          <w:b/>
          <w:bCs/>
          <w:lang w:val="en-US"/>
        </w:rPr>
        <w:t>a</w:t>
      </w:r>
      <w:r w:rsidRPr="009A21AE">
        <w:rPr>
          <w:rFonts w:ascii="Helvetica" w:hAnsi="Helvetica"/>
          <w:lang w:val="en-US"/>
        </w:rPr>
        <w:t>) Analyses over a large °2</w:t>
      </w:r>
      <w:r w:rsidRPr="00BC0EFC">
        <w:rPr>
          <w:rFonts w:ascii="Helvetica" w:hAnsi="Helvetica"/>
        </w:rPr>
        <w:sym w:font="Symbol" w:char="F071"/>
      </w:r>
      <w:r w:rsidRPr="009A21AE">
        <w:rPr>
          <w:rFonts w:ascii="Helvetica" w:hAnsi="Helvetica"/>
          <w:lang w:val="en-US"/>
        </w:rPr>
        <w:t xml:space="preserve"> angular range showing the main mineralogical phases. (</w:t>
      </w:r>
      <w:r w:rsidRPr="009A21AE">
        <w:rPr>
          <w:rFonts w:ascii="Helvetica" w:hAnsi="Helvetica"/>
          <w:b/>
          <w:bCs/>
          <w:lang w:val="en-US"/>
        </w:rPr>
        <w:t>b</w:t>
      </w:r>
      <w:r w:rsidRPr="009A21AE">
        <w:rPr>
          <w:rFonts w:ascii="Helvetica" w:hAnsi="Helvetica"/>
          <w:lang w:val="en-US"/>
        </w:rPr>
        <w:t>) Close-up of (410) and (004) apatite peaks that are diagnostic for estimating the CO</w:t>
      </w:r>
      <w:r w:rsidRPr="009A21AE">
        <w:rPr>
          <w:rFonts w:ascii="Helvetica" w:hAnsi="Helvetica"/>
          <w:vertAlign w:val="subscript"/>
          <w:lang w:val="en-US"/>
        </w:rPr>
        <w:t>3</w:t>
      </w:r>
      <w:r w:rsidRPr="009A21AE">
        <w:rPr>
          <w:rFonts w:ascii="Helvetica" w:hAnsi="Helvetica"/>
          <w:vertAlign w:val="superscript"/>
          <w:lang w:val="en-US"/>
        </w:rPr>
        <w:t>2-</w:t>
      </w:r>
      <w:r w:rsidRPr="009A21AE">
        <w:rPr>
          <w:rFonts w:ascii="Helvetica" w:hAnsi="Helvetica"/>
          <w:lang w:val="en-US"/>
        </w:rPr>
        <w:t xml:space="preserve"> contents in phosphate grains.</w:t>
      </w:r>
    </w:p>
    <w:p w14:paraId="60A474B9" w14:textId="77777777" w:rsidR="005477B0" w:rsidRPr="00BC0EFC" w:rsidRDefault="005477B0" w:rsidP="005477B0">
      <w:pPr>
        <w:spacing w:line="276" w:lineRule="auto"/>
        <w:jc w:val="both"/>
        <w:rPr>
          <w:rFonts w:ascii="Helvetica" w:hAnsi="Helvetica"/>
        </w:rPr>
      </w:pPr>
      <w:r w:rsidRPr="00BC0EFC">
        <w:rPr>
          <w:rFonts w:ascii="Helvetica" w:hAnsi="Helvetica"/>
        </w:rPr>
        <w:t>Calcite (Ca</w:t>
      </w:r>
      <w:proofErr w:type="gramStart"/>
      <w:r w:rsidRPr="00BC0EFC">
        <w:rPr>
          <w:rFonts w:ascii="Helvetica" w:hAnsi="Helvetica"/>
        </w:rPr>
        <w:t>);</w:t>
      </w:r>
      <w:proofErr w:type="gramEnd"/>
      <w:r w:rsidRPr="00BC0EFC">
        <w:rPr>
          <w:rFonts w:ascii="Helvetica" w:hAnsi="Helvetica"/>
        </w:rPr>
        <w:t xml:space="preserve"> carbonate fluorapatite (CFA); dolomite (Do); palygorskite (</w:t>
      </w:r>
      <w:proofErr w:type="spellStart"/>
      <w:r w:rsidRPr="00BC0EFC">
        <w:rPr>
          <w:rFonts w:ascii="Helvetica" w:hAnsi="Helvetica"/>
        </w:rPr>
        <w:t>Paly</w:t>
      </w:r>
      <w:proofErr w:type="spellEnd"/>
      <w:r w:rsidRPr="00BC0EFC">
        <w:rPr>
          <w:rFonts w:ascii="Helvetica" w:hAnsi="Helvetica"/>
        </w:rPr>
        <w:t xml:space="preserve">); quartz (Q); </w:t>
      </w:r>
      <w:proofErr w:type="spellStart"/>
      <w:r w:rsidRPr="00BC0EFC">
        <w:rPr>
          <w:rFonts w:ascii="Helvetica" w:hAnsi="Helvetica"/>
        </w:rPr>
        <w:t>sepiolite</w:t>
      </w:r>
      <w:proofErr w:type="spellEnd"/>
      <w:r w:rsidRPr="00BC0EFC">
        <w:rPr>
          <w:rFonts w:ascii="Helvetica" w:hAnsi="Helvetica"/>
        </w:rPr>
        <w:t xml:space="preserve"> (Sep).</w:t>
      </w:r>
    </w:p>
    <w:p w14:paraId="201EBBEB" w14:textId="77777777" w:rsidR="005477B0" w:rsidRPr="00BC0EFC" w:rsidRDefault="005477B0" w:rsidP="005477B0">
      <w:pPr>
        <w:rPr>
          <w:rFonts w:ascii="Helvetica" w:hAnsi="Helvetica"/>
        </w:rPr>
      </w:pPr>
      <w:r w:rsidRPr="00BC0EFC">
        <w:rPr>
          <w:rFonts w:ascii="Helvetica" w:hAnsi="Helvetica"/>
        </w:rPr>
        <w:br w:type="page"/>
      </w:r>
    </w:p>
    <w:p w14:paraId="561BF0A0" w14:textId="77777777" w:rsidR="005477B0" w:rsidRPr="00BC0EFC" w:rsidRDefault="005477B0" w:rsidP="005477B0">
      <w:pPr>
        <w:spacing w:line="276" w:lineRule="auto"/>
        <w:jc w:val="center"/>
        <w:rPr>
          <w:rFonts w:ascii="Helvetica" w:hAnsi="Helvetica"/>
        </w:rPr>
      </w:pPr>
      <w:r w:rsidRPr="00BC0EFC">
        <w:rPr>
          <w:rFonts w:ascii="Helvetica" w:hAnsi="Helvetica"/>
          <w:noProof/>
        </w:rPr>
        <w:drawing>
          <wp:inline distT="0" distB="0" distL="0" distR="0" wp14:anchorId="05B05D96" wp14:editId="5A0306ED">
            <wp:extent cx="5016500" cy="65532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16500" cy="6553200"/>
                    </a:xfrm>
                    <a:prstGeom prst="rect">
                      <a:avLst/>
                    </a:prstGeom>
                  </pic:spPr>
                </pic:pic>
              </a:graphicData>
            </a:graphic>
          </wp:inline>
        </w:drawing>
      </w:r>
    </w:p>
    <w:p w14:paraId="08EB0431" w14:textId="77777777" w:rsidR="005477B0" w:rsidRPr="009A21AE" w:rsidRDefault="005477B0" w:rsidP="005477B0">
      <w:pPr>
        <w:spacing w:line="276" w:lineRule="auto"/>
        <w:jc w:val="both"/>
        <w:rPr>
          <w:rFonts w:ascii="Helvetica" w:hAnsi="Helvetica"/>
          <w:lang w:val="en-US"/>
        </w:rPr>
      </w:pPr>
      <w:r w:rsidRPr="009A21AE">
        <w:rPr>
          <w:rFonts w:ascii="Helvetica" w:hAnsi="Helvetica"/>
          <w:b/>
          <w:bCs/>
          <w:lang w:val="en-US"/>
        </w:rPr>
        <w:t>Figure S5</w:t>
      </w:r>
      <w:r w:rsidRPr="009A21AE">
        <w:rPr>
          <w:rFonts w:ascii="Helvetica" w:hAnsi="Helvetica"/>
          <w:lang w:val="en-US"/>
        </w:rPr>
        <w:t xml:space="preserve">. </w:t>
      </w:r>
      <w:r w:rsidRPr="009A21AE">
        <w:rPr>
          <w:rFonts w:ascii="Helvetica" w:hAnsi="Helvetica"/>
          <w:color w:val="000000" w:themeColor="text1"/>
          <w:lang w:val="en-US"/>
        </w:rPr>
        <w:t>FTIR spectra of Amizmiz phosphorites from the Moroccan High Atlas. (</w:t>
      </w:r>
      <w:r w:rsidRPr="009A21AE">
        <w:rPr>
          <w:rFonts w:ascii="Helvetica" w:hAnsi="Helvetica"/>
          <w:b/>
          <w:bCs/>
          <w:color w:val="000000" w:themeColor="text1"/>
          <w:lang w:val="en-US"/>
        </w:rPr>
        <w:t>a</w:t>
      </w:r>
      <w:r w:rsidRPr="009A21AE">
        <w:rPr>
          <w:rFonts w:ascii="Helvetica" w:hAnsi="Helvetica"/>
          <w:color w:val="000000" w:themeColor="text1"/>
          <w:lang w:val="en-US"/>
        </w:rPr>
        <w:t xml:space="preserve">) </w:t>
      </w:r>
      <w:r w:rsidRPr="009A21AE">
        <w:rPr>
          <w:rFonts w:ascii="Helvetica" w:hAnsi="Helvetica"/>
          <w:lang w:val="en-US"/>
        </w:rPr>
        <w:t>OH-bending vibration region. (</w:t>
      </w:r>
      <w:r w:rsidRPr="009A21AE">
        <w:rPr>
          <w:rFonts w:ascii="Helvetica" w:hAnsi="Helvetica"/>
          <w:b/>
          <w:bCs/>
          <w:lang w:val="en-US"/>
        </w:rPr>
        <w:t>b</w:t>
      </w:r>
      <w:r w:rsidRPr="009A21AE">
        <w:rPr>
          <w:rFonts w:ascii="Helvetica" w:hAnsi="Helvetica"/>
          <w:lang w:val="en-US"/>
        </w:rPr>
        <w:t xml:space="preserve">) OH-stretching vibration zone. The presence of trioctahedral Mg clays like sepiolite is attributed to </w:t>
      </w:r>
      <w:r w:rsidRPr="00BC0EFC">
        <w:rPr>
          <w:rFonts w:ascii="Helvetica" w:hAnsi="Helvetica"/>
        </w:rPr>
        <w:sym w:font="Symbol" w:char="F064"/>
      </w:r>
      <w:r w:rsidRPr="009A21AE">
        <w:rPr>
          <w:rFonts w:ascii="Helvetica" w:hAnsi="Helvetica"/>
          <w:lang w:val="en-US"/>
        </w:rPr>
        <w:t>Mg</w:t>
      </w:r>
      <w:r w:rsidRPr="009A21AE">
        <w:rPr>
          <w:rFonts w:ascii="Helvetica" w:hAnsi="Helvetica"/>
          <w:vertAlign w:val="subscript"/>
          <w:lang w:val="en-US"/>
        </w:rPr>
        <w:t>3</w:t>
      </w:r>
      <w:r w:rsidRPr="009A21AE">
        <w:rPr>
          <w:rFonts w:ascii="Helvetica" w:hAnsi="Helvetica"/>
          <w:lang w:val="en-US"/>
        </w:rPr>
        <w:t xml:space="preserve">–OH and </w:t>
      </w:r>
      <w:r w:rsidRPr="00BC0EFC">
        <w:rPr>
          <w:rFonts w:ascii="Helvetica" w:hAnsi="Helvetica"/>
        </w:rPr>
        <w:sym w:font="Symbol" w:char="F06E"/>
      </w:r>
      <w:r w:rsidRPr="009A21AE">
        <w:rPr>
          <w:rFonts w:ascii="Helvetica" w:hAnsi="Helvetica"/>
          <w:lang w:val="en-US"/>
        </w:rPr>
        <w:t>Mg</w:t>
      </w:r>
      <w:r w:rsidRPr="009A21AE">
        <w:rPr>
          <w:rFonts w:ascii="Helvetica" w:hAnsi="Helvetica"/>
          <w:vertAlign w:val="subscript"/>
          <w:lang w:val="en-US"/>
        </w:rPr>
        <w:t>3</w:t>
      </w:r>
      <w:r w:rsidRPr="009A21AE">
        <w:rPr>
          <w:rFonts w:ascii="Helvetica" w:hAnsi="Helvetica"/>
          <w:lang w:val="en-US"/>
        </w:rPr>
        <w:t xml:space="preserve">–OH, while that of dioctahedral Al clays like palygorskite is attributed to </w:t>
      </w:r>
      <w:r w:rsidRPr="00BC0EFC">
        <w:rPr>
          <w:rFonts w:ascii="Helvetica" w:hAnsi="Helvetica"/>
        </w:rPr>
        <w:sym w:font="Symbol" w:char="F06E"/>
      </w:r>
      <w:r w:rsidRPr="009A21AE">
        <w:rPr>
          <w:rFonts w:ascii="Helvetica" w:hAnsi="Helvetica"/>
          <w:lang w:val="en-US"/>
        </w:rPr>
        <w:t>Al</w:t>
      </w:r>
      <w:r w:rsidRPr="009A21AE">
        <w:rPr>
          <w:rFonts w:ascii="Helvetica" w:hAnsi="Helvetica"/>
          <w:vertAlign w:val="subscript"/>
          <w:lang w:val="en-US"/>
        </w:rPr>
        <w:t>2</w:t>
      </w:r>
      <w:r w:rsidRPr="009A21AE">
        <w:rPr>
          <w:rFonts w:ascii="Helvetica" w:hAnsi="Helvetica"/>
          <w:lang w:val="en-US"/>
        </w:rPr>
        <w:t xml:space="preserve">–OH. The structural interpretation has been written only for clay features. </w:t>
      </w:r>
    </w:p>
    <w:p w14:paraId="3B0C8C04" w14:textId="77777777" w:rsidR="005477B0" w:rsidRPr="009A21AE" w:rsidRDefault="005477B0" w:rsidP="005477B0">
      <w:pPr>
        <w:rPr>
          <w:rFonts w:ascii="Helvetica" w:hAnsi="Helvetica"/>
          <w:lang w:val="en-US"/>
        </w:rPr>
      </w:pPr>
      <w:r w:rsidRPr="009A21AE">
        <w:rPr>
          <w:rFonts w:ascii="Helvetica" w:hAnsi="Helvetica"/>
          <w:lang w:val="en-US"/>
        </w:rPr>
        <w:br w:type="page"/>
      </w:r>
    </w:p>
    <w:p w14:paraId="6B64427A" w14:textId="77777777" w:rsidR="005477B0" w:rsidRPr="00BC0EFC" w:rsidRDefault="005477B0" w:rsidP="005477B0">
      <w:pPr>
        <w:rPr>
          <w:rFonts w:ascii="Helvetica" w:hAnsi="Helvetica"/>
        </w:rPr>
      </w:pPr>
      <w:r w:rsidRPr="00BC0EFC">
        <w:rPr>
          <w:rFonts w:ascii="Helvetica" w:hAnsi="Helvetica"/>
          <w:noProof/>
        </w:rPr>
        <w:drawing>
          <wp:inline distT="0" distB="0" distL="0" distR="0" wp14:anchorId="412D9E38" wp14:editId="0E1BA84F">
            <wp:extent cx="5756910" cy="2282825"/>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2282825"/>
                    </a:xfrm>
                    <a:prstGeom prst="rect">
                      <a:avLst/>
                    </a:prstGeom>
                  </pic:spPr>
                </pic:pic>
              </a:graphicData>
            </a:graphic>
          </wp:inline>
        </w:drawing>
      </w:r>
    </w:p>
    <w:p w14:paraId="00573809" w14:textId="77777777" w:rsidR="005477B0" w:rsidRPr="009A21AE" w:rsidRDefault="005477B0" w:rsidP="005477B0">
      <w:pPr>
        <w:spacing w:line="276" w:lineRule="auto"/>
        <w:jc w:val="both"/>
        <w:rPr>
          <w:rFonts w:ascii="Helvetica" w:hAnsi="Helvetica"/>
          <w:lang w:val="en-US"/>
        </w:rPr>
      </w:pPr>
      <w:r w:rsidRPr="009A21AE">
        <w:rPr>
          <w:rFonts w:ascii="Helvetica" w:hAnsi="Helvetica"/>
          <w:b/>
          <w:bCs/>
          <w:lang w:val="en-US"/>
        </w:rPr>
        <w:t>Figure S6</w:t>
      </w:r>
      <w:r w:rsidRPr="009A21AE">
        <w:rPr>
          <w:rFonts w:ascii="Helvetica" w:hAnsi="Helvetica"/>
          <w:lang w:val="en-US"/>
        </w:rPr>
        <w:t>. CFA peloid compositions from the Amizmiz phosphorites. (</w:t>
      </w:r>
      <w:r w:rsidRPr="009A21AE">
        <w:rPr>
          <w:rFonts w:ascii="Helvetica" w:hAnsi="Helvetica"/>
          <w:b/>
          <w:bCs/>
          <w:lang w:val="en-US"/>
        </w:rPr>
        <w:t>a)</w:t>
      </w:r>
      <w:r w:rsidRPr="009A21AE">
        <w:rPr>
          <w:rFonts w:ascii="Helvetica" w:hAnsi="Helvetica"/>
          <w:lang w:val="en-US"/>
        </w:rPr>
        <w:t xml:space="preserve"> Ternary 6P-Mg-Si+Al diagram where 6P = P content (wt.%)/6, Mg = Mg content (wt.%), and Si + Al (wt.%) </w:t>
      </w:r>
      <w:r w:rsidRPr="0016761E">
        <w:rPr>
          <w:rFonts w:ascii="Helvetica" w:hAnsi="Helvetica"/>
          <w:lang w:val="en-US"/>
        </w:rPr>
        <w:t xml:space="preserve">= Si + Al contents. </w:t>
      </w:r>
      <w:r w:rsidRPr="009A21AE">
        <w:rPr>
          <w:rFonts w:ascii="Helvetica" w:hAnsi="Helvetica"/>
          <w:lang w:val="en-US"/>
        </w:rPr>
        <w:t>The 6P-Mg-Si+Al system shows mixing trends between phosphate minerals and clay minerals. (</w:t>
      </w:r>
      <w:r w:rsidRPr="009A21AE">
        <w:rPr>
          <w:rFonts w:ascii="Helvetica" w:hAnsi="Helvetica"/>
          <w:b/>
          <w:bCs/>
          <w:lang w:val="en-US"/>
        </w:rPr>
        <w:t>b</w:t>
      </w:r>
      <w:r w:rsidRPr="009A21AE">
        <w:rPr>
          <w:rFonts w:ascii="Helvetica" w:hAnsi="Helvetica"/>
          <w:lang w:val="en-US"/>
        </w:rPr>
        <w:t>) Cross-plot of SiO</w:t>
      </w:r>
      <w:r w:rsidRPr="009A21AE">
        <w:rPr>
          <w:rFonts w:ascii="Helvetica" w:hAnsi="Helvetica"/>
          <w:vertAlign w:val="subscript"/>
          <w:lang w:val="en-US"/>
        </w:rPr>
        <w:t>2</w:t>
      </w:r>
      <w:r w:rsidRPr="009A21AE">
        <w:rPr>
          <w:rFonts w:ascii="Helvetica" w:hAnsi="Helvetica"/>
          <w:lang w:val="en-US"/>
        </w:rPr>
        <w:t xml:space="preserve"> </w:t>
      </w:r>
      <w:r w:rsidRPr="009A21AE">
        <w:rPr>
          <w:rFonts w:ascii="Helvetica" w:hAnsi="Helvetica"/>
          <w:i/>
          <w:iCs/>
          <w:lang w:val="en-US"/>
        </w:rPr>
        <w:t>vs</w:t>
      </w:r>
      <w:r w:rsidRPr="009A21AE">
        <w:rPr>
          <w:rFonts w:ascii="Helvetica" w:hAnsi="Helvetica"/>
          <w:lang w:val="en-US"/>
        </w:rPr>
        <w:t>. MgO displaying strong correlations between Si and Mg from the three studied samples, suggesting the presence of Si- and Mg-rich clay minerals like sepiolite and palygorskite. Empty diamond is excluded from the calculation of coefficient determination.</w:t>
      </w:r>
    </w:p>
    <w:p w14:paraId="2D0D7289" w14:textId="77777777" w:rsidR="005477B0" w:rsidRPr="009A21AE" w:rsidRDefault="005477B0" w:rsidP="005477B0">
      <w:pPr>
        <w:rPr>
          <w:rFonts w:ascii="Helvetica" w:hAnsi="Helvetica"/>
          <w:lang w:val="en-US"/>
        </w:rPr>
      </w:pPr>
      <w:r w:rsidRPr="009A21AE">
        <w:rPr>
          <w:rFonts w:ascii="Helvetica" w:hAnsi="Helvetica"/>
          <w:lang w:val="en-US"/>
        </w:rPr>
        <w:br w:type="page"/>
      </w:r>
    </w:p>
    <w:p w14:paraId="77EFAD43" w14:textId="77777777" w:rsidR="005477B0" w:rsidRPr="00BC0EFC" w:rsidRDefault="005477B0" w:rsidP="005477B0">
      <w:pPr>
        <w:spacing w:line="276" w:lineRule="auto"/>
        <w:jc w:val="center"/>
        <w:rPr>
          <w:rFonts w:ascii="Helvetica" w:hAnsi="Helvetica"/>
        </w:rPr>
      </w:pPr>
      <w:r w:rsidRPr="00BC0EFC">
        <w:rPr>
          <w:rFonts w:ascii="Helvetica" w:hAnsi="Helvetica"/>
          <w:noProof/>
        </w:rPr>
        <w:drawing>
          <wp:inline distT="0" distB="0" distL="0" distR="0" wp14:anchorId="561489A2" wp14:editId="6CF0E8C3">
            <wp:extent cx="4368800" cy="70358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68800" cy="7035800"/>
                    </a:xfrm>
                    <a:prstGeom prst="rect">
                      <a:avLst/>
                    </a:prstGeom>
                  </pic:spPr>
                </pic:pic>
              </a:graphicData>
            </a:graphic>
          </wp:inline>
        </w:drawing>
      </w:r>
    </w:p>
    <w:p w14:paraId="40D6D41B" w14:textId="42A9A5D4" w:rsidR="005477B0" w:rsidRPr="009A21AE" w:rsidRDefault="005477B0" w:rsidP="005477B0">
      <w:pPr>
        <w:spacing w:line="276" w:lineRule="auto"/>
        <w:jc w:val="both"/>
        <w:rPr>
          <w:rFonts w:ascii="Helvetica" w:hAnsi="Helvetica"/>
          <w:lang w:val="en-US"/>
        </w:rPr>
      </w:pPr>
      <w:r w:rsidRPr="009A21AE">
        <w:rPr>
          <w:rFonts w:ascii="Helvetica" w:hAnsi="Helvetica"/>
          <w:b/>
          <w:bCs/>
          <w:lang w:val="en-US"/>
        </w:rPr>
        <w:t>Figure S7.</w:t>
      </w:r>
      <w:r w:rsidRPr="009A21AE">
        <w:rPr>
          <w:rFonts w:ascii="Helvetica" w:hAnsi="Helvetica"/>
          <w:lang w:val="en-US"/>
        </w:rPr>
        <w:t xml:space="preserve"> SEM-BSE image and electron probe element mapping (dashed square) of a representative section from the AMZ13 phosphorite. We used a </w:t>
      </w:r>
      <w:proofErr w:type="spellStart"/>
      <w:r w:rsidRPr="009A21AE">
        <w:rPr>
          <w:rFonts w:ascii="Helvetica" w:hAnsi="Helvetica"/>
          <w:lang w:val="en-US"/>
        </w:rPr>
        <w:t>viridis</w:t>
      </w:r>
      <w:proofErr w:type="spellEnd"/>
      <w:r w:rsidRPr="009A21AE">
        <w:rPr>
          <w:rFonts w:ascii="Helvetica" w:hAnsi="Helvetica"/>
          <w:lang w:val="en-US"/>
        </w:rPr>
        <w:t xml:space="preserve"> color map to avoid a misinterpretation of data, as recommended by </w:t>
      </w:r>
      <w:r w:rsidRPr="00BC0EFC">
        <w:rPr>
          <w:rFonts w:ascii="Helvetica" w:hAnsi="Helvetica"/>
        </w:rPr>
        <w:fldChar w:fldCharType="begin"/>
      </w:r>
      <w:r w:rsidRPr="009A21AE">
        <w:rPr>
          <w:rFonts w:ascii="Helvetica" w:hAnsi="Helvetica"/>
          <w:lang w:val="en-US"/>
        </w:rPr>
        <w:instrText xml:space="preserve"> ADDIN ZOTERO_ITEM CSL_CITATION {"citationID":"zsXZOEHH","properties":{"formattedCitation":"(Stoelzle and Stein, 2021)","plainCitation":"(Stoelzle and Stein, 2021)","noteIndex":0},"citationItems":[{"id":1918,"uris":["http://zotero.org/users/3524343/items/EJTEHZ6H"],"itemData":{"id":1918,"type":"article-journal","abstract":"Nowadays color in scienti</w:instrText>
      </w:r>
      <w:r w:rsidRPr="00BC0EFC">
        <w:rPr>
          <w:rFonts w:ascii="Helvetica" w:hAnsi="Helvetica"/>
        </w:rPr>
        <w:instrText>ﬁ</w:instrText>
      </w:r>
      <w:r w:rsidRPr="009A21AE">
        <w:rPr>
          <w:rFonts w:ascii="Helvetica" w:hAnsi="Helvetica"/>
          <w:lang w:val="en-US"/>
        </w:rPr>
        <w:instrText xml:space="preserve">c visualizations is standard and extensively used to group, highlight or delineate different parts of data in visualizations. The rainbow color map (also known as jet color map) is famous for its appealing use of the full visual spectrum with impressive changes in chroma and luminance. Besides attracting attention, science has for decades criticized the rainbow color map for its nonlinear and erratic change of hue and luminance along the data variation. The missed uniformity causes a misrepresentation of data values and </w:instrText>
      </w:r>
      <w:r w:rsidRPr="00BC0EFC">
        <w:rPr>
          <w:rFonts w:ascii="Helvetica" w:hAnsi="Helvetica"/>
        </w:rPr>
        <w:instrText>ﬂ</w:instrText>
      </w:r>
      <w:r w:rsidRPr="009A21AE">
        <w:rPr>
          <w:rFonts w:ascii="Helvetica" w:hAnsi="Helvetica"/>
          <w:lang w:val="en-US"/>
        </w:rPr>
        <w:instrText>aws in science communication. The rainbow color map is scienti</w:instrText>
      </w:r>
      <w:r w:rsidRPr="00BC0EFC">
        <w:rPr>
          <w:rFonts w:ascii="Helvetica" w:hAnsi="Helvetica"/>
        </w:rPr>
        <w:instrText>ﬁ</w:instrText>
      </w:r>
      <w:r w:rsidRPr="009A21AE">
        <w:rPr>
          <w:rFonts w:ascii="Helvetica" w:hAnsi="Helvetica"/>
          <w:lang w:val="en-US"/>
        </w:rPr>
        <w:instrText>cally incorrect and hardly decodable for a considerable number of people due to color vision de</w:instrText>
      </w:r>
      <w:r w:rsidRPr="00BC0EFC">
        <w:rPr>
          <w:rFonts w:ascii="Helvetica" w:hAnsi="Helvetica"/>
        </w:rPr>
        <w:instrText>ﬁ</w:instrText>
      </w:r>
      <w:r w:rsidRPr="009A21AE">
        <w:rPr>
          <w:rFonts w:ascii="Helvetica" w:hAnsi="Helvetica"/>
          <w:lang w:val="en-US"/>
        </w:rPr>
        <w:instrText>ciency (CVD) or other vision impairments. Here we aim to raise awareness of how widely used the rainbow color map still is in hydrology. To this end, we perform a paper survey scanning for color issues in around 1000 scienti</w:instrText>
      </w:r>
      <w:r w:rsidRPr="00BC0EFC">
        <w:rPr>
          <w:rFonts w:ascii="Helvetica" w:hAnsi="Helvetica"/>
        </w:rPr>
        <w:instrText>ﬁ</w:instrText>
      </w:r>
      <w:r w:rsidRPr="009A21AE">
        <w:rPr>
          <w:rFonts w:ascii="Helvetica" w:hAnsi="Helvetica"/>
          <w:lang w:val="en-US"/>
        </w:rPr>
        <w:instrText>c publications in three different journals including papers published between 2005 and 2020. In this survey, depending on the journal, 16 %–24 % of the publications have a rainbow color map and around the same ratio of papers (18 %–29 %) uses red–green elements often in a way that color is the only possibility to decode the visualized groups of data. Given these shares, there is a 99.6 % chance to pick at least one visual problematic publication in 10 randomly chosen papers from our survey. To overcome the use of the rainbow color maps in science, we propose some tools and techniques focusing on improvement of typical visualization types in hydrological science. We give guidance on how to avoid, improve and trust color in a proper and scienti</w:instrText>
      </w:r>
      <w:r w:rsidRPr="00BC0EFC">
        <w:rPr>
          <w:rFonts w:ascii="Helvetica" w:hAnsi="Helvetica"/>
        </w:rPr>
        <w:instrText>ﬁ</w:instrText>
      </w:r>
      <w:r w:rsidRPr="009A21AE">
        <w:rPr>
          <w:rFonts w:ascii="Helvetica" w:hAnsi="Helvetica"/>
          <w:lang w:val="en-US"/>
        </w:rPr>
        <w:instrText xml:space="preserve">c way. Finally, we outline an approach how the rainbow color map </w:instrText>
      </w:r>
      <w:r w:rsidRPr="00BC0EFC">
        <w:rPr>
          <w:rFonts w:ascii="Helvetica" w:hAnsi="Helvetica"/>
        </w:rPr>
        <w:instrText>ﬂ</w:instrText>
      </w:r>
      <w:r w:rsidRPr="009A21AE">
        <w:rPr>
          <w:rFonts w:ascii="Helvetica" w:hAnsi="Helvetica"/>
          <w:lang w:val="en-US"/>
        </w:rPr>
        <w:instrText xml:space="preserve">aws should be communicated across different status groups in science.","container-title":"Hydrology and Earth System Sciences","DOI":"10.5194/hess-25-4549-2021","ISSN":"1607-7938","issue":"8","journalAbbreviation":"Hydrol. Earth Syst. Sci.","language":"en","page":"4549-4565","source":"DOI.org (Crossref)","title":"Rainbow color map distorts and misleads research in hydrology – guidance for better visualizations and science communication","volume":"25","author":[{"family":"Stoelzle","given":"Michael"},{"family":"Stein","given":"Lina"}],"issued":{"date-parts":[["2021",8,24]]}}}],"schema":"https://github.com/citation-style-language/schema/raw/master/csl-citation.json"} </w:instrText>
      </w:r>
      <w:r w:rsidRPr="00BC0EFC">
        <w:rPr>
          <w:rFonts w:ascii="Helvetica" w:hAnsi="Helvetica"/>
        </w:rPr>
        <w:fldChar w:fldCharType="separate"/>
      </w:r>
      <w:r w:rsidR="0016761E">
        <w:rPr>
          <w:rFonts w:ascii="Helvetica" w:hAnsi="Helvetica"/>
          <w:noProof/>
          <w:lang w:val="en-US"/>
        </w:rPr>
        <w:t>(Stoelzle and Stein, 2021)</w:t>
      </w:r>
      <w:r w:rsidRPr="00BC0EFC">
        <w:rPr>
          <w:rFonts w:ascii="Helvetica" w:hAnsi="Helvetica"/>
        </w:rPr>
        <w:fldChar w:fldCharType="end"/>
      </w:r>
      <w:r w:rsidRPr="009A21AE">
        <w:rPr>
          <w:rFonts w:ascii="Helvetica" w:hAnsi="Helvetica"/>
          <w:lang w:val="en-US"/>
        </w:rPr>
        <w:t>. In Ca panel, white and red arrows indicate calcite and dolomite, respectively, in a matrix dominantly composed of clay minerals. Quartz and K-feldspar are occasionally observed. Scale bars are 100 µm.</w:t>
      </w:r>
    </w:p>
    <w:p w14:paraId="0C93F7E3" w14:textId="77777777" w:rsidR="005477B0" w:rsidRPr="009A21AE" w:rsidRDefault="005477B0" w:rsidP="005477B0">
      <w:pPr>
        <w:rPr>
          <w:rFonts w:ascii="Helvetica" w:hAnsi="Helvetica"/>
          <w:lang w:val="en-US"/>
        </w:rPr>
      </w:pPr>
      <w:r w:rsidRPr="009A21AE">
        <w:rPr>
          <w:rFonts w:ascii="Helvetica" w:hAnsi="Helvetica"/>
          <w:lang w:val="en-US"/>
        </w:rPr>
        <w:br w:type="page"/>
      </w:r>
    </w:p>
    <w:p w14:paraId="23997E68" w14:textId="77777777" w:rsidR="005477B0" w:rsidRPr="00BC0EFC" w:rsidRDefault="005477B0" w:rsidP="005477B0">
      <w:pPr>
        <w:spacing w:line="276" w:lineRule="auto"/>
        <w:jc w:val="center"/>
        <w:rPr>
          <w:rFonts w:ascii="Helvetica" w:hAnsi="Helvetica"/>
          <w:b/>
          <w:bCs/>
        </w:rPr>
      </w:pPr>
      <w:r w:rsidRPr="00BC0EFC">
        <w:rPr>
          <w:rFonts w:ascii="Helvetica" w:hAnsi="Helvetica"/>
          <w:b/>
          <w:bCs/>
          <w:noProof/>
        </w:rPr>
        <w:drawing>
          <wp:inline distT="0" distB="0" distL="0" distR="0" wp14:anchorId="711E63AB" wp14:editId="35E28771">
            <wp:extent cx="4084320" cy="3428812"/>
            <wp:effectExtent l="0" t="0" r="5080"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9917" cy="3433511"/>
                    </a:xfrm>
                    <a:prstGeom prst="rect">
                      <a:avLst/>
                    </a:prstGeom>
                  </pic:spPr>
                </pic:pic>
              </a:graphicData>
            </a:graphic>
          </wp:inline>
        </w:drawing>
      </w:r>
    </w:p>
    <w:p w14:paraId="5293256F" w14:textId="77777777" w:rsidR="005477B0" w:rsidRPr="009A21AE" w:rsidRDefault="005477B0" w:rsidP="005477B0">
      <w:pPr>
        <w:spacing w:line="276" w:lineRule="auto"/>
        <w:jc w:val="both"/>
        <w:rPr>
          <w:rFonts w:ascii="Helvetica" w:hAnsi="Helvetica"/>
          <w:lang w:val="en-US"/>
        </w:rPr>
      </w:pPr>
      <w:r w:rsidRPr="009A21AE">
        <w:rPr>
          <w:rFonts w:ascii="Helvetica" w:hAnsi="Helvetica"/>
          <w:b/>
          <w:bCs/>
          <w:lang w:val="en-US"/>
        </w:rPr>
        <w:t xml:space="preserve">Figure S8. </w:t>
      </w:r>
      <w:r w:rsidRPr="009A21AE">
        <w:rPr>
          <w:rFonts w:ascii="Helvetica" w:hAnsi="Helvetica"/>
          <w:lang w:val="en-US"/>
        </w:rPr>
        <w:t xml:space="preserve">PAAS-normalized REEY patterns of Amizmiz phosphorites from the Moroccan High Atlas. PAAS values are from </w:t>
      </w:r>
      <w:r w:rsidRPr="00BC0EFC">
        <w:rPr>
          <w:rFonts w:ascii="Helvetica" w:hAnsi="Helvetica"/>
        </w:rPr>
        <w:fldChar w:fldCharType="begin"/>
      </w:r>
      <w:r w:rsidRPr="009A21AE">
        <w:rPr>
          <w:rFonts w:ascii="Helvetica" w:hAnsi="Helvetica"/>
          <w:lang w:val="en-US"/>
        </w:rPr>
        <w:instrText xml:space="preserve"> ADDIN ZOTERO_ITEM CSL_CITATION {"citationID":"Brz8EoRw","properties":{"formattedCitation":"(Taylor and McLennan, 1985)","plainCitation":"(Taylor and McLennan, 1985)","dontUpdate":true,"noteIndex":0},"citationItems":[{"id":479,"uris":["http://zotero.org/users/3524343/items/HLYKBUKY"],"itemData":{"id":479,"type":"book","event-place":"Oxford","publisher":"Blackwell Scientific Puplications","publisher-place":"Oxford","title":"The continental crust: Its composition and evolution","author":[{"family":"Taylor","given":"S.R."},{"family":"McLennan","given":"Scott M"}],"issued":{"date-parts":[["1985"]]}}}],"schema":"https://github.com/citation-style-language/schema/raw/master/csl-citation.json"} </w:instrText>
      </w:r>
      <w:r w:rsidRPr="00BC0EFC">
        <w:rPr>
          <w:rFonts w:ascii="Helvetica" w:hAnsi="Helvetica"/>
        </w:rPr>
        <w:fldChar w:fldCharType="separate"/>
      </w:r>
      <w:r w:rsidRPr="009A21AE">
        <w:rPr>
          <w:rFonts w:ascii="Helvetica" w:hAnsi="Helvetica"/>
          <w:noProof/>
          <w:lang w:val="en-US"/>
        </w:rPr>
        <w:t>Taylor and McLennan (1985)</w:t>
      </w:r>
      <w:r w:rsidRPr="00BC0EFC">
        <w:rPr>
          <w:rFonts w:ascii="Helvetica" w:hAnsi="Helvetica"/>
        </w:rPr>
        <w:fldChar w:fldCharType="end"/>
      </w:r>
      <w:r w:rsidRPr="009A21AE">
        <w:rPr>
          <w:rFonts w:ascii="Helvetica" w:hAnsi="Helvetica"/>
          <w:lang w:val="en-US"/>
        </w:rPr>
        <w:t>.</w:t>
      </w:r>
    </w:p>
    <w:p w14:paraId="7210025D" w14:textId="77777777" w:rsidR="005477B0" w:rsidRPr="009A21AE" w:rsidRDefault="005477B0" w:rsidP="005477B0">
      <w:pPr>
        <w:rPr>
          <w:rFonts w:ascii="Helvetica" w:hAnsi="Helvetica"/>
          <w:lang w:val="en-US"/>
        </w:rPr>
      </w:pPr>
      <w:r w:rsidRPr="009A21AE">
        <w:rPr>
          <w:rFonts w:ascii="Helvetica" w:hAnsi="Helvetica"/>
          <w:lang w:val="en-US"/>
        </w:rPr>
        <w:br w:type="page"/>
      </w:r>
    </w:p>
    <w:p w14:paraId="374696A2" w14:textId="64BA548E" w:rsidR="00A408D9" w:rsidRPr="009A21AE" w:rsidRDefault="008470F0" w:rsidP="00765F43">
      <w:pPr>
        <w:spacing w:line="276" w:lineRule="auto"/>
        <w:jc w:val="both"/>
        <w:rPr>
          <w:rFonts w:ascii="Helvetica" w:hAnsi="Helvetica"/>
          <w:lang w:val="en-US"/>
        </w:rPr>
      </w:pPr>
      <w:r w:rsidRPr="009A21AE">
        <w:rPr>
          <w:rFonts w:ascii="Helvetica" w:hAnsi="Helvetica"/>
          <w:b/>
          <w:bCs/>
          <w:u w:val="single"/>
          <w:lang w:val="en-US"/>
        </w:rPr>
        <w:t>References</w:t>
      </w:r>
      <w:r w:rsidRPr="009A21AE">
        <w:rPr>
          <w:rFonts w:ascii="Helvetica" w:hAnsi="Helvetica"/>
          <w:lang w:val="en-US"/>
        </w:rPr>
        <w:t>:</w:t>
      </w:r>
    </w:p>
    <w:p w14:paraId="0CECD025" w14:textId="77777777" w:rsidR="0016761E" w:rsidRPr="0016761E" w:rsidRDefault="00E07A2A" w:rsidP="0016761E">
      <w:pPr>
        <w:pStyle w:val="Bibliography"/>
        <w:rPr>
          <w:sz w:val="20"/>
        </w:rPr>
      </w:pPr>
      <w:r w:rsidRPr="0018474C">
        <w:rPr>
          <w:sz w:val="20"/>
          <w:szCs w:val="20"/>
          <w:lang w:val="fr-FR"/>
        </w:rPr>
        <w:fldChar w:fldCharType="begin"/>
      </w:r>
      <w:r w:rsidR="0016761E" w:rsidRPr="0016761E">
        <w:rPr>
          <w:sz w:val="20"/>
          <w:szCs w:val="20"/>
          <w:lang w:val="fr-FR"/>
        </w:rPr>
        <w:instrText xml:space="preserve"> ADDIN ZOTERO_BIBL {"uncited":[],"omitted":[],"custom":[]} CSL_BIBLIOGRAPHY </w:instrText>
      </w:r>
      <w:r w:rsidRPr="0018474C">
        <w:rPr>
          <w:sz w:val="20"/>
          <w:szCs w:val="20"/>
          <w:lang w:val="fr-FR"/>
        </w:rPr>
        <w:fldChar w:fldCharType="separate"/>
      </w:r>
      <w:r w:rsidR="0016761E" w:rsidRPr="0016761E">
        <w:rPr>
          <w:sz w:val="20"/>
          <w:lang w:val="fr-FR"/>
        </w:rPr>
        <w:t xml:space="preserve">Aubineau, J., Parat, F., Elghali, A., Raji, O., Addou, A., Bonnet, C., et al. </w:t>
      </w:r>
      <w:r w:rsidR="0016761E" w:rsidRPr="0016761E">
        <w:rPr>
          <w:sz w:val="20"/>
        </w:rPr>
        <w:t>(2022). Highly variable content of fluorapatite-hosted CO</w:t>
      </w:r>
      <w:r w:rsidR="0016761E" w:rsidRPr="0016761E">
        <w:rPr>
          <w:sz w:val="20"/>
          <w:vertAlign w:val="subscript"/>
        </w:rPr>
        <w:t>3</w:t>
      </w:r>
      <w:r w:rsidR="0016761E" w:rsidRPr="0016761E">
        <w:rPr>
          <w:sz w:val="20"/>
          <w:vertAlign w:val="superscript"/>
        </w:rPr>
        <w:t>2−</w:t>
      </w:r>
      <w:r w:rsidR="0016761E" w:rsidRPr="0016761E">
        <w:rPr>
          <w:sz w:val="20"/>
        </w:rPr>
        <w:t xml:space="preserve"> in the Upper Cretaceous/Paleogene phosphorites (Morocco) and implications for paleodepositional conditions. </w:t>
      </w:r>
      <w:r w:rsidR="0016761E" w:rsidRPr="0016761E">
        <w:rPr>
          <w:i/>
          <w:iCs/>
          <w:sz w:val="20"/>
        </w:rPr>
        <w:t>Chemical Geology</w:t>
      </w:r>
      <w:r w:rsidR="0016761E" w:rsidRPr="0016761E">
        <w:rPr>
          <w:sz w:val="20"/>
        </w:rPr>
        <w:t xml:space="preserve"> 597, 120818. doi: 10.1016/j.chemgeo.2022.120818.</w:t>
      </w:r>
    </w:p>
    <w:p w14:paraId="73F9D8A8" w14:textId="77777777" w:rsidR="0016761E" w:rsidRPr="0016761E" w:rsidRDefault="0016761E" w:rsidP="0016761E">
      <w:pPr>
        <w:pStyle w:val="Bibliography"/>
        <w:rPr>
          <w:sz w:val="20"/>
        </w:rPr>
      </w:pPr>
      <w:r w:rsidRPr="0016761E">
        <w:rPr>
          <w:sz w:val="20"/>
        </w:rPr>
        <w:t xml:space="preserve">Bau, M., and Dulski, P. (1996). Distribution of yttrium and rare-earth elements in the Penge and Kuruman iron-formations, Transvaal Supergroup, South Africa. </w:t>
      </w:r>
      <w:r w:rsidRPr="0016761E">
        <w:rPr>
          <w:i/>
          <w:iCs/>
          <w:sz w:val="20"/>
        </w:rPr>
        <w:t>Precambrian Research</w:t>
      </w:r>
      <w:r w:rsidRPr="0016761E">
        <w:rPr>
          <w:sz w:val="20"/>
        </w:rPr>
        <w:t xml:space="preserve"> 79, 37–55. doi: 10.1016/0301-9268(95)00087-9.</w:t>
      </w:r>
    </w:p>
    <w:p w14:paraId="52F98E3B" w14:textId="77777777" w:rsidR="0016761E" w:rsidRPr="0016761E" w:rsidRDefault="0016761E" w:rsidP="0016761E">
      <w:pPr>
        <w:pStyle w:val="Bibliography"/>
        <w:rPr>
          <w:sz w:val="20"/>
        </w:rPr>
      </w:pPr>
      <w:r w:rsidRPr="0016761E">
        <w:rPr>
          <w:sz w:val="20"/>
        </w:rPr>
        <w:t xml:space="preserve">Griffin, W. L. (2008). GLITTER: Data reduction software for laser ablation ICP-MS. </w:t>
      </w:r>
      <w:r w:rsidRPr="0016761E">
        <w:rPr>
          <w:i/>
          <w:iCs/>
          <w:sz w:val="20"/>
        </w:rPr>
        <w:t>Laser Ablation ICP-MS in the Earth Sciences : Current practices and outstanding issues</w:t>
      </w:r>
      <w:r w:rsidRPr="0016761E">
        <w:rPr>
          <w:sz w:val="20"/>
        </w:rPr>
        <w:t>, 308–311.</w:t>
      </w:r>
    </w:p>
    <w:p w14:paraId="4AD2482C" w14:textId="77777777" w:rsidR="0016761E" w:rsidRPr="0016761E" w:rsidRDefault="0016761E" w:rsidP="0016761E">
      <w:pPr>
        <w:pStyle w:val="Bibliography"/>
        <w:rPr>
          <w:sz w:val="20"/>
        </w:rPr>
      </w:pPr>
      <w:r w:rsidRPr="0016761E">
        <w:rPr>
          <w:sz w:val="20"/>
        </w:rPr>
        <w:t xml:space="preserve">Moore, D. M., and Reynolds Jr, R. C. (1997). </w:t>
      </w:r>
      <w:r w:rsidRPr="0016761E">
        <w:rPr>
          <w:i/>
          <w:iCs/>
          <w:sz w:val="20"/>
        </w:rPr>
        <w:t>X-ray diffraction and the identification and analysis of clay minerals</w:t>
      </w:r>
      <w:r w:rsidRPr="0016761E">
        <w:rPr>
          <w:sz w:val="20"/>
        </w:rPr>
        <w:t>. New York: Oxford University Press.</w:t>
      </w:r>
    </w:p>
    <w:p w14:paraId="0027988E" w14:textId="77777777" w:rsidR="0016761E" w:rsidRPr="0016761E" w:rsidRDefault="0016761E" w:rsidP="0016761E">
      <w:pPr>
        <w:pStyle w:val="Bibliography"/>
        <w:rPr>
          <w:sz w:val="20"/>
        </w:rPr>
      </w:pPr>
      <w:r w:rsidRPr="0016761E">
        <w:rPr>
          <w:sz w:val="20"/>
        </w:rPr>
        <w:t xml:space="preserve">Planavsky, N. J., Bekker, A., Rouxel, O. J., Kamber, B., Hofmann, A., Knudsen, A., et al. (2010). Rare earth element and yttrium compositions of Archean and Paleoproterozoic Fe formations revisited: New perspectives on the significance and mechanisms of deposition. </w:t>
      </w:r>
      <w:r w:rsidRPr="0016761E">
        <w:rPr>
          <w:i/>
          <w:iCs/>
          <w:sz w:val="20"/>
        </w:rPr>
        <w:t>Geochimica et Cosmochimica Acta</w:t>
      </w:r>
      <w:r w:rsidRPr="0016761E">
        <w:rPr>
          <w:sz w:val="20"/>
        </w:rPr>
        <w:t xml:space="preserve"> 74, 6387–6405. doi: 10.1016/j.gca.2010.07.021.</w:t>
      </w:r>
    </w:p>
    <w:p w14:paraId="0A142787" w14:textId="77777777" w:rsidR="0016761E" w:rsidRPr="0016761E" w:rsidRDefault="0016761E" w:rsidP="0016761E">
      <w:pPr>
        <w:pStyle w:val="Bibliography"/>
        <w:rPr>
          <w:sz w:val="20"/>
        </w:rPr>
      </w:pPr>
      <w:r w:rsidRPr="0016761E">
        <w:rPr>
          <w:sz w:val="20"/>
        </w:rPr>
        <w:t xml:space="preserve">Shields, G., and Stille, P. (2001). Diagenetic constraints on the use of cerium anomalies as palaeoseawater redox proxies: an isotopic and REE study of Cambrian phosphorites. </w:t>
      </w:r>
      <w:r w:rsidRPr="0016761E">
        <w:rPr>
          <w:i/>
          <w:iCs/>
          <w:sz w:val="20"/>
        </w:rPr>
        <w:t>Chemical Geology</w:t>
      </w:r>
      <w:r w:rsidRPr="0016761E">
        <w:rPr>
          <w:sz w:val="20"/>
        </w:rPr>
        <w:t xml:space="preserve"> 175, 29–48. doi: 10.1016/S0009-2541(00)00362-4.</w:t>
      </w:r>
    </w:p>
    <w:p w14:paraId="423D1267" w14:textId="77777777" w:rsidR="0016761E" w:rsidRPr="0016761E" w:rsidRDefault="0016761E" w:rsidP="0016761E">
      <w:pPr>
        <w:pStyle w:val="Bibliography"/>
        <w:rPr>
          <w:sz w:val="20"/>
        </w:rPr>
      </w:pPr>
      <w:r w:rsidRPr="0016761E">
        <w:rPr>
          <w:sz w:val="20"/>
        </w:rPr>
        <w:t xml:space="preserve">Stoelzle, M., and Stein, L. (2021). Rainbow color map distorts and misleads research in hydrology – guidance for better visualizations and science communication. </w:t>
      </w:r>
      <w:r w:rsidRPr="0016761E">
        <w:rPr>
          <w:i/>
          <w:iCs/>
          <w:sz w:val="20"/>
        </w:rPr>
        <w:t>Hydrol. Earth Syst. Sci.</w:t>
      </w:r>
      <w:r w:rsidRPr="0016761E">
        <w:rPr>
          <w:sz w:val="20"/>
        </w:rPr>
        <w:t xml:space="preserve"> 25, 4549–4565. doi: 10.5194/hess-25-4549-2021.</w:t>
      </w:r>
    </w:p>
    <w:p w14:paraId="3BF7CFA7" w14:textId="77777777" w:rsidR="0016761E" w:rsidRPr="0016761E" w:rsidRDefault="0016761E" w:rsidP="0016761E">
      <w:pPr>
        <w:pStyle w:val="Bibliography"/>
        <w:rPr>
          <w:sz w:val="20"/>
        </w:rPr>
      </w:pPr>
      <w:r w:rsidRPr="0016761E">
        <w:rPr>
          <w:sz w:val="20"/>
        </w:rPr>
        <w:t xml:space="preserve">Taylor, S. R., and McLennan, S. M. (1985). </w:t>
      </w:r>
      <w:r w:rsidRPr="0016761E">
        <w:rPr>
          <w:i/>
          <w:iCs/>
          <w:sz w:val="20"/>
        </w:rPr>
        <w:t>The continental crust: Its composition and evolution</w:t>
      </w:r>
      <w:r w:rsidRPr="0016761E">
        <w:rPr>
          <w:sz w:val="20"/>
        </w:rPr>
        <w:t>. Oxford: Blackwell Scientific Puplications.</w:t>
      </w:r>
    </w:p>
    <w:p w14:paraId="2CE606D8" w14:textId="77777777" w:rsidR="0016761E" w:rsidRPr="0016761E" w:rsidRDefault="0016761E" w:rsidP="0016761E">
      <w:pPr>
        <w:pStyle w:val="Bibliography"/>
        <w:rPr>
          <w:sz w:val="20"/>
        </w:rPr>
      </w:pPr>
      <w:r w:rsidRPr="0016761E">
        <w:rPr>
          <w:sz w:val="20"/>
        </w:rPr>
        <w:t xml:space="preserve">Tostevin, R., Shields, G. A., Tarbuck, G. M., He, T., Clarkson, M. O., and Wood, R. A. (2016). Effective use of cerium anomalies as a redox proxy in carbonate-dominated marine settings. </w:t>
      </w:r>
      <w:r w:rsidRPr="0016761E">
        <w:rPr>
          <w:i/>
          <w:iCs/>
          <w:sz w:val="20"/>
        </w:rPr>
        <w:t>Chemical Geology</w:t>
      </w:r>
      <w:r w:rsidRPr="0016761E">
        <w:rPr>
          <w:sz w:val="20"/>
        </w:rPr>
        <w:t xml:space="preserve"> 438, 146–162. doi: 10.1016/j.chemgeo.2016.06.027.</w:t>
      </w:r>
    </w:p>
    <w:p w14:paraId="0FA169C2" w14:textId="77777777" w:rsidR="0016761E" w:rsidRPr="0016761E" w:rsidRDefault="0016761E" w:rsidP="0016761E">
      <w:pPr>
        <w:pStyle w:val="Bibliography"/>
        <w:rPr>
          <w:sz w:val="20"/>
        </w:rPr>
      </w:pPr>
      <w:r w:rsidRPr="0016761E">
        <w:rPr>
          <w:sz w:val="20"/>
        </w:rPr>
        <w:t xml:space="preserve">Wilson, M. J. (2013). </w:t>
      </w:r>
      <w:r w:rsidRPr="0016761E">
        <w:rPr>
          <w:i/>
          <w:iCs/>
          <w:sz w:val="20"/>
        </w:rPr>
        <w:t>Rock-Forming Minerals Volume 3C (second ed.) - Sheet Silicates: Clay Minerals</w:t>
      </w:r>
      <w:r w:rsidRPr="0016761E">
        <w:rPr>
          <w:sz w:val="20"/>
        </w:rPr>
        <w:t>. London: The Geological Society of London.</w:t>
      </w:r>
    </w:p>
    <w:p w14:paraId="2105C68C" w14:textId="74AE3ADE" w:rsidR="008470F0" w:rsidRPr="00A408D9" w:rsidRDefault="00E07A2A" w:rsidP="00BE7D1A">
      <w:pPr>
        <w:ind w:left="284" w:hanging="284"/>
        <w:jc w:val="both"/>
        <w:rPr>
          <w:rFonts w:ascii="Helvetica" w:hAnsi="Helvetica"/>
          <w:lang w:val="en-US"/>
        </w:rPr>
      </w:pPr>
      <w:r w:rsidRPr="0018474C">
        <w:rPr>
          <w:rFonts w:ascii="Helvetica" w:hAnsi="Helvetica"/>
          <w:sz w:val="20"/>
          <w:szCs w:val="20"/>
          <w:lang w:val="en-US"/>
        </w:rPr>
        <w:fldChar w:fldCharType="end"/>
      </w:r>
    </w:p>
    <w:sectPr w:rsidR="008470F0" w:rsidRPr="00A408D9" w:rsidSect="001F2AA4">
      <w:footerReference w:type="even" r:id="rId14"/>
      <w:footerReference w:type="default" r:id="rId1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BB8D2" w14:textId="77777777" w:rsidR="003D1F38" w:rsidRDefault="003D1F38" w:rsidP="00BE7D1A">
      <w:r>
        <w:separator/>
      </w:r>
    </w:p>
  </w:endnote>
  <w:endnote w:type="continuationSeparator" w:id="0">
    <w:p w14:paraId="220775A0" w14:textId="77777777" w:rsidR="003D1F38" w:rsidRDefault="003D1F38" w:rsidP="00BE7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680775215"/>
      <w:docPartObj>
        <w:docPartGallery w:val="Page Numbers (Bottom of Page)"/>
        <w:docPartUnique/>
      </w:docPartObj>
    </w:sdtPr>
    <w:sdtContent>
      <w:p w14:paraId="74AD5FF2" w14:textId="4723C94D" w:rsidR="00BE7D1A" w:rsidRDefault="00BE7D1A" w:rsidP="00F541FC">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DA8DC98" w14:textId="77777777" w:rsidR="00BE7D1A" w:rsidRDefault="00BE7D1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Fonts w:ascii="Helvetica" w:hAnsi="Helvetica"/>
        <w:sz w:val="21"/>
        <w:szCs w:val="21"/>
      </w:rPr>
      <w:id w:val="2043630878"/>
      <w:docPartObj>
        <w:docPartGallery w:val="Page Numbers (Bottom of Page)"/>
        <w:docPartUnique/>
      </w:docPartObj>
    </w:sdtPr>
    <w:sdtContent>
      <w:p w14:paraId="22D69C6F" w14:textId="7303C62F" w:rsidR="00BE7D1A" w:rsidRPr="00BE7D1A" w:rsidRDefault="00BE7D1A" w:rsidP="00F541FC">
        <w:pPr>
          <w:pStyle w:val="Pieddepage"/>
          <w:framePr w:wrap="none" w:vAnchor="text" w:hAnchor="margin" w:xAlign="center" w:y="1"/>
          <w:rPr>
            <w:rStyle w:val="Numrodepage"/>
            <w:rFonts w:ascii="Helvetica" w:hAnsi="Helvetica"/>
            <w:sz w:val="21"/>
            <w:szCs w:val="21"/>
          </w:rPr>
        </w:pPr>
        <w:r w:rsidRPr="00BE7D1A">
          <w:rPr>
            <w:rStyle w:val="Numrodepage"/>
            <w:rFonts w:ascii="Helvetica" w:hAnsi="Helvetica"/>
            <w:sz w:val="21"/>
            <w:szCs w:val="21"/>
          </w:rPr>
          <w:fldChar w:fldCharType="begin"/>
        </w:r>
        <w:r w:rsidRPr="00BE7D1A">
          <w:rPr>
            <w:rStyle w:val="Numrodepage"/>
            <w:rFonts w:ascii="Helvetica" w:hAnsi="Helvetica"/>
            <w:sz w:val="21"/>
            <w:szCs w:val="21"/>
          </w:rPr>
          <w:instrText xml:space="preserve"> PAGE </w:instrText>
        </w:r>
        <w:r w:rsidRPr="00BE7D1A">
          <w:rPr>
            <w:rStyle w:val="Numrodepage"/>
            <w:rFonts w:ascii="Helvetica" w:hAnsi="Helvetica"/>
            <w:sz w:val="21"/>
            <w:szCs w:val="21"/>
          </w:rPr>
          <w:fldChar w:fldCharType="separate"/>
        </w:r>
        <w:r w:rsidRPr="00BE7D1A">
          <w:rPr>
            <w:rStyle w:val="Numrodepage"/>
            <w:rFonts w:ascii="Helvetica" w:hAnsi="Helvetica"/>
            <w:noProof/>
            <w:sz w:val="21"/>
            <w:szCs w:val="21"/>
          </w:rPr>
          <w:t>1</w:t>
        </w:r>
        <w:r w:rsidRPr="00BE7D1A">
          <w:rPr>
            <w:rStyle w:val="Numrodepage"/>
            <w:rFonts w:ascii="Helvetica" w:hAnsi="Helvetica"/>
            <w:sz w:val="21"/>
            <w:szCs w:val="21"/>
          </w:rPr>
          <w:fldChar w:fldCharType="end"/>
        </w:r>
      </w:p>
    </w:sdtContent>
  </w:sdt>
  <w:p w14:paraId="65667278" w14:textId="77777777" w:rsidR="00BE7D1A" w:rsidRPr="00BE7D1A" w:rsidRDefault="00BE7D1A">
    <w:pPr>
      <w:pStyle w:val="Pieddepage"/>
      <w:rPr>
        <w:rFonts w:ascii="Helvetica" w:hAnsi="Helvetica"/>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3A6F7" w14:textId="77777777" w:rsidR="003D1F38" w:rsidRDefault="003D1F38" w:rsidP="00BE7D1A">
      <w:r>
        <w:separator/>
      </w:r>
    </w:p>
  </w:footnote>
  <w:footnote w:type="continuationSeparator" w:id="0">
    <w:p w14:paraId="3FEA093E" w14:textId="77777777" w:rsidR="003D1F38" w:rsidRDefault="003D1F38" w:rsidP="00BE7D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F43"/>
    <w:rsid w:val="00056DD7"/>
    <w:rsid w:val="00073F51"/>
    <w:rsid w:val="00085910"/>
    <w:rsid w:val="00087D75"/>
    <w:rsid w:val="00095191"/>
    <w:rsid w:val="000B0190"/>
    <w:rsid w:val="001302F1"/>
    <w:rsid w:val="00154875"/>
    <w:rsid w:val="0016761E"/>
    <w:rsid w:val="0018474C"/>
    <w:rsid w:val="00196BD3"/>
    <w:rsid w:val="0019715E"/>
    <w:rsid w:val="001A5490"/>
    <w:rsid w:val="001D3793"/>
    <w:rsid w:val="001F2AA4"/>
    <w:rsid w:val="002022C7"/>
    <w:rsid w:val="00247ACD"/>
    <w:rsid w:val="00254115"/>
    <w:rsid w:val="002756E0"/>
    <w:rsid w:val="002D00F0"/>
    <w:rsid w:val="00321A0F"/>
    <w:rsid w:val="00331275"/>
    <w:rsid w:val="0034715B"/>
    <w:rsid w:val="00352BB7"/>
    <w:rsid w:val="003600C9"/>
    <w:rsid w:val="00383B84"/>
    <w:rsid w:val="003933CC"/>
    <w:rsid w:val="00395573"/>
    <w:rsid w:val="003C1586"/>
    <w:rsid w:val="003C337E"/>
    <w:rsid w:val="003D0850"/>
    <w:rsid w:val="003D1F38"/>
    <w:rsid w:val="003D285A"/>
    <w:rsid w:val="003D76A7"/>
    <w:rsid w:val="003F0A88"/>
    <w:rsid w:val="00405186"/>
    <w:rsid w:val="004268C0"/>
    <w:rsid w:val="00436F45"/>
    <w:rsid w:val="0043724F"/>
    <w:rsid w:val="00497D6B"/>
    <w:rsid w:val="004B7A20"/>
    <w:rsid w:val="004E6178"/>
    <w:rsid w:val="004E780B"/>
    <w:rsid w:val="004F3E39"/>
    <w:rsid w:val="00516269"/>
    <w:rsid w:val="00517FAF"/>
    <w:rsid w:val="005477B0"/>
    <w:rsid w:val="00584617"/>
    <w:rsid w:val="005C2E0B"/>
    <w:rsid w:val="005D08F7"/>
    <w:rsid w:val="005E6C07"/>
    <w:rsid w:val="005E720B"/>
    <w:rsid w:val="006275F6"/>
    <w:rsid w:val="006719C2"/>
    <w:rsid w:val="00676851"/>
    <w:rsid w:val="00680FE8"/>
    <w:rsid w:val="00687792"/>
    <w:rsid w:val="0069123B"/>
    <w:rsid w:val="00692080"/>
    <w:rsid w:val="006A6EA9"/>
    <w:rsid w:val="006B64B0"/>
    <w:rsid w:val="006C7A4E"/>
    <w:rsid w:val="006E6159"/>
    <w:rsid w:val="007179A8"/>
    <w:rsid w:val="007572E8"/>
    <w:rsid w:val="00765F43"/>
    <w:rsid w:val="00787276"/>
    <w:rsid w:val="00797D2C"/>
    <w:rsid w:val="007B6A45"/>
    <w:rsid w:val="007D4021"/>
    <w:rsid w:val="007F778A"/>
    <w:rsid w:val="00832820"/>
    <w:rsid w:val="008470F0"/>
    <w:rsid w:val="00871FD5"/>
    <w:rsid w:val="008760DA"/>
    <w:rsid w:val="0087732E"/>
    <w:rsid w:val="008C149E"/>
    <w:rsid w:val="008C6A18"/>
    <w:rsid w:val="008D388B"/>
    <w:rsid w:val="00952149"/>
    <w:rsid w:val="00953EA3"/>
    <w:rsid w:val="00961988"/>
    <w:rsid w:val="0098252A"/>
    <w:rsid w:val="00991EE9"/>
    <w:rsid w:val="00995C9B"/>
    <w:rsid w:val="009A21AE"/>
    <w:rsid w:val="009D1A30"/>
    <w:rsid w:val="009E62E8"/>
    <w:rsid w:val="00A005B0"/>
    <w:rsid w:val="00A122DE"/>
    <w:rsid w:val="00A1602E"/>
    <w:rsid w:val="00A408D9"/>
    <w:rsid w:val="00A43648"/>
    <w:rsid w:val="00A44392"/>
    <w:rsid w:val="00A5510A"/>
    <w:rsid w:val="00A6320E"/>
    <w:rsid w:val="00A6361B"/>
    <w:rsid w:val="00AB283B"/>
    <w:rsid w:val="00AD3070"/>
    <w:rsid w:val="00B32F38"/>
    <w:rsid w:val="00BB21E3"/>
    <w:rsid w:val="00BB475D"/>
    <w:rsid w:val="00BC33CD"/>
    <w:rsid w:val="00BC68A6"/>
    <w:rsid w:val="00BE4280"/>
    <w:rsid w:val="00BE7D1A"/>
    <w:rsid w:val="00C4189B"/>
    <w:rsid w:val="00C97F87"/>
    <w:rsid w:val="00CA75C4"/>
    <w:rsid w:val="00CC27CB"/>
    <w:rsid w:val="00CC3394"/>
    <w:rsid w:val="00CC6FD9"/>
    <w:rsid w:val="00D10E38"/>
    <w:rsid w:val="00D14835"/>
    <w:rsid w:val="00D35A78"/>
    <w:rsid w:val="00D74179"/>
    <w:rsid w:val="00D86BCE"/>
    <w:rsid w:val="00DA09D4"/>
    <w:rsid w:val="00DA67EE"/>
    <w:rsid w:val="00DA7E5B"/>
    <w:rsid w:val="00E07A2A"/>
    <w:rsid w:val="00E07F6B"/>
    <w:rsid w:val="00E16D34"/>
    <w:rsid w:val="00E35EE1"/>
    <w:rsid w:val="00E71348"/>
    <w:rsid w:val="00E828DD"/>
    <w:rsid w:val="00ED004E"/>
    <w:rsid w:val="00ED08C0"/>
    <w:rsid w:val="00F07548"/>
    <w:rsid w:val="00F2051F"/>
    <w:rsid w:val="00F4706C"/>
    <w:rsid w:val="00F630C5"/>
    <w:rsid w:val="00F70ACC"/>
    <w:rsid w:val="00FA12A8"/>
    <w:rsid w:val="00FE0188"/>
    <w:rsid w:val="00FE18E6"/>
    <w:rsid w:val="00FF6E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72D39D5"/>
  <w15:chartTrackingRefBased/>
  <w15:docId w15:val="{5616AA94-7520-EE48-849E-A20907C46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65F43"/>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179A8"/>
    <w:pPr>
      <w:ind w:left="720"/>
      <w:contextualSpacing/>
    </w:pPr>
  </w:style>
  <w:style w:type="paragraph" w:styleId="Rvision">
    <w:name w:val="Revision"/>
    <w:hidden/>
    <w:uiPriority w:val="99"/>
    <w:semiHidden/>
    <w:rsid w:val="00D35A78"/>
    <w:rPr>
      <w:rFonts w:ascii="Times New Roman" w:eastAsia="Times New Roman" w:hAnsi="Times New Roman" w:cs="Times New Roman"/>
      <w:lang w:eastAsia="fr-FR"/>
    </w:rPr>
  </w:style>
  <w:style w:type="paragraph" w:customStyle="1" w:styleId="Bibliographie1">
    <w:name w:val="Bibliographie1"/>
    <w:basedOn w:val="Normal"/>
    <w:link w:val="BibliographyCar"/>
    <w:rsid w:val="00E07A2A"/>
    <w:pPr>
      <w:ind w:left="720" w:hanging="720"/>
      <w:jc w:val="both"/>
    </w:pPr>
    <w:rPr>
      <w:rFonts w:ascii="Helvetica" w:hAnsi="Helvetica"/>
      <w:lang w:val="en-US"/>
    </w:rPr>
  </w:style>
  <w:style w:type="character" w:customStyle="1" w:styleId="BibliographyCar">
    <w:name w:val="Bibliography Car"/>
    <w:basedOn w:val="Policepardfaut"/>
    <w:link w:val="Bibliographie1"/>
    <w:rsid w:val="00E07A2A"/>
    <w:rPr>
      <w:rFonts w:ascii="Helvetica" w:eastAsia="Times New Roman" w:hAnsi="Helvetica" w:cs="Times New Roman"/>
      <w:lang w:val="en-US" w:eastAsia="fr-FR"/>
    </w:rPr>
  </w:style>
  <w:style w:type="paragraph" w:customStyle="1" w:styleId="Bibliographie2">
    <w:name w:val="Bibliographie2"/>
    <w:basedOn w:val="Normal"/>
    <w:link w:val="BibliographyCar1"/>
    <w:rsid w:val="004B7A20"/>
    <w:pPr>
      <w:ind w:left="720" w:hanging="720"/>
      <w:jc w:val="both"/>
    </w:pPr>
    <w:rPr>
      <w:rFonts w:ascii="Helvetica" w:hAnsi="Helvetica"/>
      <w:noProof/>
      <w:lang w:val="en-US"/>
    </w:rPr>
  </w:style>
  <w:style w:type="character" w:customStyle="1" w:styleId="BibliographyCar1">
    <w:name w:val="Bibliography Car1"/>
    <w:basedOn w:val="Policepardfaut"/>
    <w:link w:val="Bibliographie2"/>
    <w:rsid w:val="004B7A20"/>
    <w:rPr>
      <w:rFonts w:ascii="Helvetica" w:eastAsia="Times New Roman" w:hAnsi="Helvetica" w:cs="Times New Roman"/>
      <w:noProof/>
      <w:lang w:val="en-US" w:eastAsia="fr-FR"/>
    </w:rPr>
  </w:style>
  <w:style w:type="paragraph" w:styleId="En-tte">
    <w:name w:val="header"/>
    <w:basedOn w:val="Normal"/>
    <w:link w:val="En-tteCar"/>
    <w:uiPriority w:val="99"/>
    <w:unhideWhenUsed/>
    <w:rsid w:val="00BE7D1A"/>
    <w:pPr>
      <w:tabs>
        <w:tab w:val="center" w:pos="4536"/>
        <w:tab w:val="right" w:pos="9072"/>
      </w:tabs>
    </w:pPr>
  </w:style>
  <w:style w:type="character" w:customStyle="1" w:styleId="En-tteCar">
    <w:name w:val="En-tête Car"/>
    <w:basedOn w:val="Policepardfaut"/>
    <w:link w:val="En-tte"/>
    <w:uiPriority w:val="99"/>
    <w:rsid w:val="00BE7D1A"/>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BE7D1A"/>
    <w:pPr>
      <w:tabs>
        <w:tab w:val="center" w:pos="4536"/>
        <w:tab w:val="right" w:pos="9072"/>
      </w:tabs>
    </w:pPr>
  </w:style>
  <w:style w:type="character" w:customStyle="1" w:styleId="PieddepageCar">
    <w:name w:val="Pied de page Car"/>
    <w:basedOn w:val="Policepardfaut"/>
    <w:link w:val="Pieddepage"/>
    <w:uiPriority w:val="99"/>
    <w:rsid w:val="00BE7D1A"/>
    <w:rPr>
      <w:rFonts w:ascii="Times New Roman" w:eastAsia="Times New Roman" w:hAnsi="Times New Roman" w:cs="Times New Roman"/>
      <w:lang w:eastAsia="fr-FR"/>
    </w:rPr>
  </w:style>
  <w:style w:type="character" w:styleId="Numrodepage">
    <w:name w:val="page number"/>
    <w:basedOn w:val="Policepardfaut"/>
    <w:uiPriority w:val="99"/>
    <w:semiHidden/>
    <w:unhideWhenUsed/>
    <w:rsid w:val="00BE7D1A"/>
  </w:style>
  <w:style w:type="paragraph" w:styleId="Textedebulles">
    <w:name w:val="Balloon Text"/>
    <w:basedOn w:val="Normal"/>
    <w:link w:val="TextedebullesCar"/>
    <w:uiPriority w:val="99"/>
    <w:semiHidden/>
    <w:unhideWhenUsed/>
    <w:rsid w:val="009D1A30"/>
    <w:rPr>
      <w:sz w:val="18"/>
      <w:szCs w:val="18"/>
    </w:rPr>
  </w:style>
  <w:style w:type="character" w:customStyle="1" w:styleId="TextedebullesCar">
    <w:name w:val="Texte de bulles Car"/>
    <w:basedOn w:val="Policepardfaut"/>
    <w:link w:val="Textedebulles"/>
    <w:uiPriority w:val="99"/>
    <w:semiHidden/>
    <w:rsid w:val="009D1A30"/>
    <w:rPr>
      <w:rFonts w:ascii="Times New Roman" w:eastAsia="Times New Roman" w:hAnsi="Times New Roman" w:cs="Times New Roman"/>
      <w:sz w:val="18"/>
      <w:szCs w:val="18"/>
      <w:lang w:eastAsia="fr-FR"/>
    </w:rPr>
  </w:style>
  <w:style w:type="character" w:styleId="Marquedecommentaire">
    <w:name w:val="annotation reference"/>
    <w:basedOn w:val="Policepardfaut"/>
    <w:uiPriority w:val="99"/>
    <w:semiHidden/>
    <w:unhideWhenUsed/>
    <w:rsid w:val="009D1A30"/>
    <w:rPr>
      <w:sz w:val="16"/>
      <w:szCs w:val="16"/>
    </w:rPr>
  </w:style>
  <w:style w:type="paragraph" w:styleId="Commentaire">
    <w:name w:val="annotation text"/>
    <w:basedOn w:val="Normal"/>
    <w:link w:val="CommentaireCar"/>
    <w:uiPriority w:val="99"/>
    <w:semiHidden/>
    <w:unhideWhenUsed/>
    <w:rsid w:val="009D1A30"/>
    <w:rPr>
      <w:sz w:val="20"/>
      <w:szCs w:val="20"/>
    </w:rPr>
  </w:style>
  <w:style w:type="character" w:customStyle="1" w:styleId="CommentaireCar">
    <w:name w:val="Commentaire Car"/>
    <w:basedOn w:val="Policepardfaut"/>
    <w:link w:val="Commentaire"/>
    <w:uiPriority w:val="99"/>
    <w:semiHidden/>
    <w:rsid w:val="009D1A30"/>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9D1A30"/>
    <w:rPr>
      <w:b/>
      <w:bCs/>
    </w:rPr>
  </w:style>
  <w:style w:type="character" w:customStyle="1" w:styleId="ObjetducommentaireCar">
    <w:name w:val="Objet du commentaire Car"/>
    <w:basedOn w:val="CommentaireCar"/>
    <w:link w:val="Objetducommentaire"/>
    <w:uiPriority w:val="99"/>
    <w:semiHidden/>
    <w:rsid w:val="009D1A30"/>
    <w:rPr>
      <w:rFonts w:ascii="Times New Roman" w:eastAsia="Times New Roman" w:hAnsi="Times New Roman" w:cs="Times New Roman"/>
      <w:b/>
      <w:bCs/>
      <w:sz w:val="20"/>
      <w:szCs w:val="20"/>
      <w:lang w:eastAsia="fr-FR"/>
    </w:rPr>
  </w:style>
  <w:style w:type="paragraph" w:customStyle="1" w:styleId="Bibliography">
    <w:name w:val="Bibliography"/>
    <w:basedOn w:val="Normal"/>
    <w:link w:val="BibliographyCar2"/>
    <w:rsid w:val="0016761E"/>
    <w:pPr>
      <w:spacing w:after="240"/>
      <w:ind w:left="720" w:hanging="720"/>
      <w:jc w:val="both"/>
    </w:pPr>
    <w:rPr>
      <w:rFonts w:ascii="Helvetica" w:hAnsi="Helvetica"/>
      <w:noProof/>
      <w:lang w:val="en-US"/>
    </w:rPr>
  </w:style>
  <w:style w:type="character" w:customStyle="1" w:styleId="BibliographyCar2">
    <w:name w:val="Bibliography Car2"/>
    <w:basedOn w:val="Policepardfaut"/>
    <w:link w:val="Bibliography"/>
    <w:rsid w:val="0016761E"/>
    <w:rPr>
      <w:rFonts w:ascii="Helvetica" w:eastAsia="Times New Roman" w:hAnsi="Helvetica" w:cs="Times New Roman"/>
      <w:noProof/>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8.tif"/><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ti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tif"/><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tif"/><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12</Pages>
  <Words>4279</Words>
  <Characters>23537</Characters>
  <Application>Microsoft Office Word</Application>
  <DocSecurity>0</DocSecurity>
  <Lines>196</Lines>
  <Paragraphs>55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AUBINEAU Jérémie</dc:creator>
  <cp:keywords/>
  <dc:description/>
  <cp:lastModifiedBy>AUBINEAU Jérémie</cp:lastModifiedBy>
  <cp:revision>10</cp:revision>
  <dcterms:created xsi:type="dcterms:W3CDTF">2022-07-04T07:54:00Z</dcterms:created>
  <dcterms:modified xsi:type="dcterms:W3CDTF">2022-07-18T09:37:00Z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zotero-version="6.0.9"&gt;&lt;session id="uTFfhWZw"/&gt;&lt;style id="http://www.zotero.org/styles/frontiers-in-earth-science" hasBibliography="1" bibliographyStyleHasBeenSet="1"/&gt;&lt;prefs&gt;&lt;pref name="fieldType" value="Field"/&gt;&lt;/prefs&gt;&lt;/data&gt;</vt:lpwstr>
  </property>
  <property fmtid="{D5CDD505-2E9C-101B-9397-08002B2CF9AE}" pid="3" name="ZOTERO_PREF_2">
    <vt:lpwstr/>
  </property>
</Properties>
</file>