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D776D4" w14:textId="77777777" w:rsidR="001D6330" w:rsidRPr="005946DB" w:rsidRDefault="005946DB">
      <w:pPr>
        <w:rPr>
          <w:sz w:val="32"/>
          <w:szCs w:val="32"/>
        </w:rPr>
      </w:pPr>
      <w:r w:rsidRPr="005946DB">
        <w:rPr>
          <w:rFonts w:ascii="Times New Roman" w:hAnsi="Times New Roman" w:cs="Times New Roman"/>
          <w:sz w:val="32"/>
          <w:szCs w:val="32"/>
        </w:rPr>
        <w:t>Supplementary Figures</w:t>
      </w:r>
    </w:p>
    <w:p w14:paraId="5DF67450" w14:textId="77777777" w:rsidR="00C74BB4" w:rsidRDefault="00C74BB4">
      <w:r>
        <w:rPr>
          <w:rFonts w:ascii="Times New Roman" w:eastAsia="SimSun" w:hAnsi="Times New Roman" w:cs="Times New Roman"/>
          <w:noProof/>
          <w:sz w:val="18"/>
          <w:szCs w:val="18"/>
        </w:rPr>
        <w:drawing>
          <wp:inline distT="0" distB="0" distL="0" distR="0" wp14:anchorId="217B6908" wp14:editId="16790D68">
            <wp:extent cx="5274310" cy="336053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2.6.20-相关性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0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8FDF9" w14:textId="77777777" w:rsidR="00C74BB4" w:rsidRPr="007319F3" w:rsidRDefault="00C74BB4" w:rsidP="00C74BB4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b/>
          <w:szCs w:val="21"/>
        </w:rPr>
      </w:pPr>
      <w:r>
        <w:rPr>
          <w:rFonts w:ascii="Times New Roman" w:hAnsi="Times New Roman" w:cs="Times New Roman"/>
          <w:b/>
          <w:szCs w:val="21"/>
        </w:rPr>
        <w:t xml:space="preserve">Supplementary </w:t>
      </w:r>
      <w:r w:rsidRPr="007319F3">
        <w:rPr>
          <w:rFonts w:ascii="Times New Roman" w:hAnsi="Times New Roman" w:cs="Times New Roman"/>
          <w:b/>
          <w:szCs w:val="21"/>
        </w:rPr>
        <w:t xml:space="preserve">Figure </w:t>
      </w:r>
      <w:r>
        <w:rPr>
          <w:rFonts w:ascii="Times New Roman" w:hAnsi="Times New Roman" w:cs="Times New Roman"/>
          <w:b/>
          <w:szCs w:val="21"/>
        </w:rPr>
        <w:t>1</w:t>
      </w:r>
      <w:r w:rsidRPr="007319F3">
        <w:rPr>
          <w:rFonts w:ascii="Times New Roman" w:hAnsi="Times New Roman" w:cs="Times New Roman"/>
          <w:b/>
          <w:szCs w:val="21"/>
        </w:rPr>
        <w:t>. Correlation coefficients between the stand spatial structure characteristic indexes and environmental factors.</w:t>
      </w:r>
    </w:p>
    <w:p w14:paraId="69941C49" w14:textId="77777777" w:rsidR="00C74BB4" w:rsidRPr="005946DB" w:rsidRDefault="00C74BB4" w:rsidP="005946DB">
      <w:pPr>
        <w:adjustRightInd w:val="0"/>
        <w:snapToGrid w:val="0"/>
        <w:spacing w:line="360" w:lineRule="auto"/>
        <w:ind w:firstLineChars="200" w:firstLine="361"/>
        <w:rPr>
          <w:rFonts w:ascii="Times New Roman" w:hAnsi="Times New Roman" w:cs="Times New Roman"/>
          <w:sz w:val="18"/>
          <w:szCs w:val="18"/>
        </w:rPr>
      </w:pPr>
      <w:r w:rsidRPr="007319F3">
        <w:rPr>
          <w:rFonts w:ascii="Times New Roman" w:hAnsi="Times New Roman" w:cs="Times New Roman"/>
          <w:b/>
          <w:sz w:val="18"/>
          <w:szCs w:val="18"/>
        </w:rPr>
        <w:t xml:space="preserve">Note: </w:t>
      </w:r>
      <w:r w:rsidRPr="007319F3">
        <w:rPr>
          <w:rFonts w:ascii="Times New Roman" w:hAnsi="Times New Roman" w:cs="Times New Roman"/>
          <w:sz w:val="18"/>
          <w:szCs w:val="18"/>
        </w:rPr>
        <w:t>The red and blue colors denote significant positive</w:t>
      </w:r>
      <w:r w:rsidRPr="007319F3">
        <w:rPr>
          <w:rFonts w:ascii="Times New Roman" w:hAnsi="Times New Roman" w:cs="Times New Roman" w:hint="eastAsia"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>and negative effects, respectively. The color intensity is proportional to the magnitude of the Pearson correlation. The darker the color, the greater the strength of the</w:t>
      </w:r>
      <w:r w:rsidRPr="007319F3">
        <w:rPr>
          <w:rFonts w:ascii="Times New Roman" w:hAnsi="Times New Roman" w:cs="Times New Roman" w:hint="eastAsia"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>relationship, and vice versa. The stand spatial structure parameters are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 xml:space="preserve"> M</w:t>
      </w:r>
      <w:r w:rsidRPr="007319F3">
        <w:rPr>
          <w:rFonts w:ascii="Times New Roman" w:hAnsi="Times New Roman" w:cs="Times New Roman"/>
          <w:sz w:val="18"/>
          <w:szCs w:val="18"/>
        </w:rPr>
        <w:t xml:space="preserve">, mingling index;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W</w:t>
      </w:r>
      <w:r w:rsidRPr="007319F3">
        <w:rPr>
          <w:rFonts w:ascii="Times New Roman" w:hAnsi="Times New Roman" w:cs="Times New Roman"/>
          <w:sz w:val="18"/>
          <w:szCs w:val="18"/>
        </w:rPr>
        <w:t xml:space="preserve">, uniform angle index;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CI</w:t>
      </w:r>
      <w:r w:rsidRPr="007319F3">
        <w:rPr>
          <w:rFonts w:ascii="Times New Roman" w:hAnsi="Times New Roman" w:cs="Times New Roman"/>
          <w:sz w:val="18"/>
          <w:szCs w:val="18"/>
        </w:rPr>
        <w:t xml:space="preserve">, competition index;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U</w:t>
      </w:r>
      <w:r w:rsidRPr="007319F3">
        <w:rPr>
          <w:rFonts w:ascii="Times New Roman" w:hAnsi="Times New Roman" w:cs="Times New Roman"/>
          <w:sz w:val="18"/>
          <w:szCs w:val="18"/>
        </w:rPr>
        <w:t xml:space="preserve">, neighborhood comparison;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O</w:t>
      </w:r>
      <w:r w:rsidRPr="007319F3">
        <w:rPr>
          <w:rFonts w:ascii="Times New Roman" w:hAnsi="Times New Roman" w:cs="Times New Roman"/>
          <w:sz w:val="18"/>
          <w:szCs w:val="18"/>
        </w:rPr>
        <w:t xml:space="preserve">, opening degree. The soil parameters are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SOC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organic carbon;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STN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total nitrogen;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SAN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alkaline nitrogen;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STP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total phosphorus;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SAP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available phosphorus;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SK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total potassium;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SAK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available potassium;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SW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water content;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pH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pH;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SBD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bulk density;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SP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porosity. The NS means not significant. The * and ** indicate significant at </w:t>
      </w:r>
      <w:r w:rsidRPr="007319F3">
        <w:rPr>
          <w:rFonts w:ascii="Times New Roman" w:hAnsi="Times New Roman" w:cs="Times New Roman"/>
          <w:i/>
          <w:sz w:val="18"/>
          <w:szCs w:val="18"/>
        </w:rPr>
        <w:t xml:space="preserve">p </w:t>
      </w:r>
      <w:r w:rsidRPr="007319F3">
        <w:rPr>
          <w:rFonts w:ascii="Times New Roman" w:hAnsi="Times New Roman" w:cs="Times New Roman"/>
          <w:sz w:val="18"/>
          <w:szCs w:val="18"/>
        </w:rPr>
        <w:t xml:space="preserve">&lt; 0.05 and </w:t>
      </w:r>
      <w:r w:rsidRPr="007319F3">
        <w:rPr>
          <w:rFonts w:ascii="Times New Roman" w:hAnsi="Times New Roman" w:cs="Times New Roman"/>
          <w:i/>
          <w:sz w:val="18"/>
          <w:szCs w:val="18"/>
        </w:rPr>
        <w:t xml:space="preserve">p </w:t>
      </w:r>
      <w:r w:rsidRPr="007319F3">
        <w:rPr>
          <w:rFonts w:ascii="Times New Roman" w:hAnsi="Times New Roman" w:cs="Times New Roman"/>
          <w:sz w:val="18"/>
          <w:szCs w:val="18"/>
        </w:rPr>
        <w:t>&lt; 0.01, respectively.</w:t>
      </w:r>
    </w:p>
    <w:p w14:paraId="720E0CC2" w14:textId="77777777" w:rsidR="00C74BB4" w:rsidRDefault="00C74BB4">
      <w:r>
        <w:rPr>
          <w:noProof/>
        </w:rPr>
        <w:lastRenderedPageBreak/>
        <w:drawing>
          <wp:inline distT="0" distB="0" distL="0" distR="0" wp14:anchorId="3D041CC8" wp14:editId="61D101DE">
            <wp:extent cx="5274310" cy="336105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.18--相关性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C726D" w14:textId="77777777" w:rsidR="00C74BB4" w:rsidRDefault="00C74BB4" w:rsidP="00C74BB4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b/>
          <w:szCs w:val="21"/>
        </w:rPr>
      </w:pPr>
      <w:r>
        <w:rPr>
          <w:rFonts w:ascii="Times New Roman" w:hAnsi="Times New Roman" w:cs="Times New Roman"/>
          <w:b/>
          <w:szCs w:val="21"/>
        </w:rPr>
        <w:t xml:space="preserve">Supplementary </w:t>
      </w:r>
      <w:r w:rsidRPr="002A45D3">
        <w:rPr>
          <w:rFonts w:ascii="Times New Roman" w:hAnsi="Times New Roman" w:cs="Times New Roman"/>
          <w:b/>
          <w:szCs w:val="21"/>
        </w:rPr>
        <w:t xml:space="preserve">Figure </w:t>
      </w:r>
      <w:r>
        <w:rPr>
          <w:rFonts w:ascii="Times New Roman" w:hAnsi="Times New Roman" w:cs="Times New Roman"/>
          <w:b/>
          <w:szCs w:val="21"/>
        </w:rPr>
        <w:t>2</w:t>
      </w:r>
      <w:r w:rsidRPr="002A45D3">
        <w:rPr>
          <w:rFonts w:ascii="Times New Roman" w:hAnsi="Times New Roman" w:cs="Times New Roman"/>
          <w:b/>
          <w:szCs w:val="21"/>
        </w:rPr>
        <w:t xml:space="preserve">. Correlation </w:t>
      </w:r>
      <w:r>
        <w:rPr>
          <w:rFonts w:ascii="Times New Roman" w:hAnsi="Times New Roman" w:cs="Times New Roman"/>
          <w:b/>
          <w:szCs w:val="21"/>
        </w:rPr>
        <w:t xml:space="preserve">coefficients </w:t>
      </w:r>
      <w:r w:rsidRPr="002A45D3">
        <w:rPr>
          <w:rFonts w:ascii="Times New Roman" w:hAnsi="Times New Roman" w:cs="Times New Roman"/>
          <w:b/>
          <w:szCs w:val="21"/>
        </w:rPr>
        <w:t>between the stand spatial structure characteristic indexes and environmental factors and the biomass allocation of organs.</w:t>
      </w:r>
    </w:p>
    <w:p w14:paraId="188E947F" w14:textId="77777777" w:rsidR="00C74BB4" w:rsidRPr="007319F3" w:rsidRDefault="00C74BB4" w:rsidP="00C74BB4">
      <w:pPr>
        <w:adjustRightInd w:val="0"/>
        <w:snapToGrid w:val="0"/>
        <w:spacing w:line="360" w:lineRule="auto"/>
        <w:ind w:firstLineChars="200" w:firstLine="361"/>
        <w:rPr>
          <w:rFonts w:ascii="Times New Roman" w:hAnsi="Times New Roman" w:cs="Times New Roman"/>
          <w:b/>
          <w:sz w:val="18"/>
          <w:szCs w:val="18"/>
        </w:rPr>
      </w:pPr>
      <w:r w:rsidRPr="002323AB">
        <w:rPr>
          <w:rFonts w:ascii="Times New Roman" w:hAnsi="Times New Roman" w:cs="Times New Roman"/>
          <w:b/>
          <w:sz w:val="18"/>
          <w:szCs w:val="18"/>
        </w:rPr>
        <w:t>No</w:t>
      </w:r>
      <w:r w:rsidRPr="007319F3">
        <w:rPr>
          <w:rFonts w:ascii="Times New Roman" w:hAnsi="Times New Roman" w:cs="Times New Roman"/>
          <w:b/>
          <w:sz w:val="18"/>
          <w:szCs w:val="18"/>
        </w:rPr>
        <w:t xml:space="preserve">te: </w:t>
      </w:r>
      <w:r w:rsidRPr="007319F3">
        <w:rPr>
          <w:rFonts w:ascii="Times New Roman" w:hAnsi="Times New Roman" w:cs="Times New Roman"/>
          <w:sz w:val="18"/>
          <w:szCs w:val="18"/>
        </w:rPr>
        <w:t>Correlation coefficients between stand spatial structure characteristic indexes and environmental factors. The red and blue colors denote significant positive</w:t>
      </w:r>
      <w:r w:rsidRPr="007319F3">
        <w:rPr>
          <w:rFonts w:ascii="Times New Roman" w:hAnsi="Times New Roman" w:cs="Times New Roman" w:hint="eastAsia"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>and negative effects, respectively. The color intensity is proportional to the magnitude of the Pearson correlation. The darker the color, the greater the strength of the</w:t>
      </w:r>
      <w:r w:rsidRPr="007319F3">
        <w:rPr>
          <w:rFonts w:ascii="Times New Roman" w:hAnsi="Times New Roman" w:cs="Times New Roman" w:hint="eastAsia"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>relationship, and vice versa. The growth indexes are</w:t>
      </w:r>
      <w:r w:rsidRPr="007319F3">
        <w:rPr>
          <w:rFonts w:ascii="Times New Roman" w:hAnsi="Times New Roman" w:cs="Times New Roman"/>
          <w:b/>
          <w:sz w:val="18"/>
          <w:szCs w:val="18"/>
        </w:rPr>
        <w:t xml:space="preserve"> C/R ratio</w:t>
      </w:r>
      <w:r w:rsidRPr="007319F3">
        <w:rPr>
          <w:rFonts w:ascii="Times New Roman" w:hAnsi="Times New Roman" w:cs="Times New Roman"/>
          <w:sz w:val="18"/>
          <w:szCs w:val="18"/>
        </w:rPr>
        <w:t>,</w:t>
      </w:r>
      <w:r w:rsidRPr="007319F3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 xml:space="preserve">crown-root ratio; </w:t>
      </w:r>
      <w:r w:rsidRPr="007319F3">
        <w:rPr>
          <w:rFonts w:ascii="Times New Roman" w:hAnsi="Times New Roman" w:cs="Times New Roman"/>
          <w:b/>
          <w:sz w:val="18"/>
          <w:szCs w:val="18"/>
        </w:rPr>
        <w:t>H/D ratio</w:t>
      </w:r>
      <w:r w:rsidRPr="007319F3">
        <w:rPr>
          <w:rFonts w:ascii="Times New Roman" w:hAnsi="Times New Roman" w:cs="Times New Roman"/>
          <w:sz w:val="18"/>
          <w:szCs w:val="18"/>
        </w:rPr>
        <w:t>,</w:t>
      </w:r>
      <w:r w:rsidRPr="007319F3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>height-diameter ratio;</w:t>
      </w:r>
      <w:r w:rsidRPr="007319F3">
        <w:rPr>
          <w:rFonts w:ascii="Times New Roman" w:hAnsi="Times New Roman" w:cs="Times New Roman"/>
          <w:b/>
          <w:sz w:val="18"/>
          <w:szCs w:val="18"/>
        </w:rPr>
        <w:t xml:space="preserve"> SQI</w:t>
      </w:r>
      <w:r w:rsidRPr="007319F3">
        <w:rPr>
          <w:rFonts w:ascii="Times New Roman" w:hAnsi="Times New Roman" w:cs="Times New Roman"/>
          <w:sz w:val="18"/>
          <w:szCs w:val="18"/>
        </w:rPr>
        <w:t>,</w:t>
      </w:r>
      <w:r w:rsidRPr="007319F3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7319F3">
        <w:rPr>
          <w:rFonts w:ascii="Times New Roman" w:hAnsi="Times New Roman" w:cs="Times New Roman"/>
          <w:sz w:val="18"/>
          <w:szCs w:val="18"/>
        </w:rPr>
        <w:t>seedling quality index</w:t>
      </w:r>
      <w:r w:rsidRPr="007319F3">
        <w:rPr>
          <w:rFonts w:ascii="Times New Roman" w:eastAsia="Times New Roman" w:hAnsi="Times New Roman" w:cs="Times New Roman"/>
          <w:kern w:val="0"/>
          <w:sz w:val="18"/>
          <w:szCs w:val="18"/>
          <w:lang w:eastAsia="de-DE" w:bidi="en-US"/>
        </w:rPr>
        <w:t xml:space="preserve">. </w:t>
      </w:r>
      <w:r w:rsidRPr="007319F3">
        <w:rPr>
          <w:rFonts w:ascii="Times New Roman" w:hAnsi="Times New Roman" w:cs="Times New Roman"/>
          <w:sz w:val="18"/>
          <w:szCs w:val="18"/>
        </w:rPr>
        <w:t>The stand spatial structure parameters are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 xml:space="preserve"> M</w:t>
      </w:r>
      <w:r w:rsidRPr="007319F3">
        <w:rPr>
          <w:rFonts w:ascii="Times New Roman" w:hAnsi="Times New Roman" w:cs="Times New Roman"/>
          <w:sz w:val="18"/>
          <w:szCs w:val="18"/>
        </w:rPr>
        <w:t xml:space="preserve">, mingling index;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W</w:t>
      </w:r>
      <w:r w:rsidRPr="007319F3">
        <w:rPr>
          <w:rFonts w:ascii="Times New Roman" w:hAnsi="Times New Roman" w:cs="Times New Roman"/>
          <w:sz w:val="18"/>
          <w:szCs w:val="18"/>
        </w:rPr>
        <w:t xml:space="preserve">, uniform angle index;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CI</w:t>
      </w:r>
      <w:r w:rsidRPr="007319F3">
        <w:rPr>
          <w:rFonts w:ascii="Times New Roman" w:hAnsi="Times New Roman" w:cs="Times New Roman"/>
          <w:sz w:val="18"/>
          <w:szCs w:val="18"/>
        </w:rPr>
        <w:t xml:space="preserve">, competition index;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U</w:t>
      </w:r>
      <w:r w:rsidRPr="007319F3">
        <w:rPr>
          <w:rFonts w:ascii="Times New Roman" w:hAnsi="Times New Roman" w:cs="Times New Roman"/>
          <w:sz w:val="18"/>
          <w:szCs w:val="18"/>
        </w:rPr>
        <w:t xml:space="preserve">, neighborhood comparison; </w:t>
      </w:r>
      <w:r w:rsidRPr="007319F3">
        <w:rPr>
          <w:rFonts w:ascii="Times New Roman" w:hAnsi="Times New Roman" w:cs="Times New Roman"/>
          <w:b/>
          <w:bCs/>
          <w:i/>
          <w:iCs/>
          <w:sz w:val="18"/>
          <w:szCs w:val="18"/>
        </w:rPr>
        <w:t>O</w:t>
      </w:r>
      <w:r w:rsidRPr="007319F3">
        <w:rPr>
          <w:rFonts w:ascii="Times New Roman" w:hAnsi="Times New Roman" w:cs="Times New Roman"/>
          <w:sz w:val="18"/>
          <w:szCs w:val="18"/>
        </w:rPr>
        <w:t xml:space="preserve">, opening degree. The soil parameters are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SOC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organic carbon;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STN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total nitrogen;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SAN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alkaline nitrogen;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STP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total phosphorus;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SAP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available phosphorus;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SK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total potassium;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SAK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available potassium;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SW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water content;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pH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pH;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SBD</w:t>
      </w:r>
      <w:r w:rsidRPr="007319F3">
        <w:rPr>
          <w:rFonts w:ascii="Times New Roman" w:hAnsi="Times New Roman" w:cs="Times New Roman"/>
          <w:sz w:val="18"/>
          <w:szCs w:val="18"/>
        </w:rPr>
        <w:t xml:space="preserve">, soil bulk density; </w:t>
      </w:r>
      <w:r w:rsidRPr="007319F3">
        <w:rPr>
          <w:rFonts w:ascii="Times New Roman" w:hAnsi="Times New Roman" w:cs="Times New Roman"/>
          <w:b/>
          <w:bCs/>
          <w:sz w:val="18"/>
          <w:szCs w:val="18"/>
        </w:rPr>
        <w:t>SP</w:t>
      </w:r>
      <w:r w:rsidRPr="007319F3">
        <w:rPr>
          <w:rFonts w:ascii="Times New Roman" w:hAnsi="Times New Roman" w:cs="Times New Roman"/>
          <w:sz w:val="18"/>
          <w:szCs w:val="18"/>
        </w:rPr>
        <w:t>, soil porosity. The NS means not significant. The * and ** indicate significant</w:t>
      </w:r>
      <w:r>
        <w:rPr>
          <w:rFonts w:ascii="Times New Roman" w:hAnsi="Times New Roman" w:cs="Times New Roman"/>
          <w:sz w:val="18"/>
          <w:szCs w:val="18"/>
        </w:rPr>
        <w:t xml:space="preserve"> differences</w:t>
      </w:r>
      <w:r w:rsidRPr="007319F3">
        <w:rPr>
          <w:rFonts w:ascii="Times New Roman" w:hAnsi="Times New Roman" w:cs="Times New Roman"/>
          <w:sz w:val="18"/>
          <w:szCs w:val="18"/>
        </w:rPr>
        <w:t xml:space="preserve"> at </w:t>
      </w:r>
      <w:r w:rsidRPr="007319F3">
        <w:rPr>
          <w:rFonts w:ascii="Times New Roman" w:hAnsi="Times New Roman" w:cs="Times New Roman"/>
          <w:i/>
          <w:sz w:val="18"/>
          <w:szCs w:val="18"/>
        </w:rPr>
        <w:t xml:space="preserve">p </w:t>
      </w:r>
      <w:r w:rsidRPr="007319F3">
        <w:rPr>
          <w:rFonts w:ascii="Times New Roman" w:hAnsi="Times New Roman" w:cs="Times New Roman"/>
          <w:sz w:val="18"/>
          <w:szCs w:val="18"/>
        </w:rPr>
        <w:t xml:space="preserve">&lt; 0.05 and </w:t>
      </w:r>
      <w:r w:rsidRPr="007319F3">
        <w:rPr>
          <w:rFonts w:ascii="Times New Roman" w:hAnsi="Times New Roman" w:cs="Times New Roman"/>
          <w:i/>
          <w:sz w:val="18"/>
          <w:szCs w:val="18"/>
        </w:rPr>
        <w:t xml:space="preserve">p </w:t>
      </w:r>
      <w:r w:rsidRPr="007319F3">
        <w:rPr>
          <w:rFonts w:ascii="Times New Roman" w:hAnsi="Times New Roman" w:cs="Times New Roman"/>
          <w:sz w:val="18"/>
          <w:szCs w:val="18"/>
        </w:rPr>
        <w:t>&lt; 0.01, respectively.</w:t>
      </w:r>
    </w:p>
    <w:p w14:paraId="30E377E5" w14:textId="77777777" w:rsidR="00C74BB4" w:rsidRPr="00C74BB4" w:rsidRDefault="00C74BB4"/>
    <w:sectPr w:rsidR="00C74BB4" w:rsidRPr="00C74BB4" w:rsidSect="006F76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6573F9" w14:textId="77777777" w:rsidR="006E2FBF" w:rsidRDefault="006E2FBF" w:rsidP="00C74BB4">
      <w:r>
        <w:separator/>
      </w:r>
    </w:p>
  </w:endnote>
  <w:endnote w:type="continuationSeparator" w:id="0">
    <w:p w14:paraId="3E1E1FB2" w14:textId="77777777" w:rsidR="006E2FBF" w:rsidRDefault="006E2FBF" w:rsidP="00C74B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4AB7BB" w14:textId="77777777" w:rsidR="006E2FBF" w:rsidRDefault="006E2FBF" w:rsidP="00C74BB4">
      <w:r>
        <w:separator/>
      </w:r>
    </w:p>
  </w:footnote>
  <w:footnote w:type="continuationSeparator" w:id="0">
    <w:p w14:paraId="11910530" w14:textId="77777777" w:rsidR="006E2FBF" w:rsidRDefault="006E2FBF" w:rsidP="00C74BB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80E"/>
    <w:rsid w:val="0002688E"/>
    <w:rsid w:val="000D4490"/>
    <w:rsid w:val="001D6330"/>
    <w:rsid w:val="005946DB"/>
    <w:rsid w:val="006E2FBF"/>
    <w:rsid w:val="006F7637"/>
    <w:rsid w:val="00C0580E"/>
    <w:rsid w:val="00C74BB4"/>
    <w:rsid w:val="00FC4CBB"/>
    <w:rsid w:val="00FF2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EE83ED"/>
  <w15:chartTrackingRefBased/>
  <w15:docId w15:val="{9059E101-E0AB-40C9-95DD-C3AA8E2A73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02688E"/>
    <w:pPr>
      <w:keepNext/>
      <w:keepLines/>
      <w:spacing w:line="360" w:lineRule="auto"/>
      <w:outlineLvl w:val="0"/>
    </w:pPr>
    <w:rPr>
      <w:rFonts w:ascii="Times New Roman" w:eastAsia="SimHei" w:hAnsi="Times New Roman" w:cs="Times New Roman"/>
      <w:bCs/>
      <w:kern w:val="44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02688E"/>
    <w:pPr>
      <w:keepNext/>
      <w:keepLines/>
      <w:spacing w:line="360" w:lineRule="auto"/>
      <w:outlineLvl w:val="1"/>
    </w:pPr>
    <w:rPr>
      <w:rFonts w:ascii="Times New Roman" w:eastAsia="SimHei" w:hAnsi="Times New Roman" w:cs="Times New Roman"/>
      <w:bCs/>
      <w:sz w:val="30"/>
      <w:szCs w:val="30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2688E"/>
    <w:pPr>
      <w:keepNext/>
      <w:keepLines/>
      <w:spacing w:line="360" w:lineRule="auto"/>
      <w:outlineLvl w:val="2"/>
    </w:pPr>
    <w:rPr>
      <w:rFonts w:ascii="Times New Roman" w:eastAsia="SimHei" w:hAnsi="Times New Roman"/>
      <w:bCs/>
      <w:sz w:val="28"/>
      <w:szCs w:val="32"/>
    </w:rPr>
  </w:style>
  <w:style w:type="paragraph" w:styleId="Heading4">
    <w:name w:val="heading 4"/>
    <w:basedOn w:val="Normal"/>
    <w:next w:val="Normal"/>
    <w:link w:val="Heading4Char"/>
    <w:autoRedefine/>
    <w:uiPriority w:val="9"/>
    <w:semiHidden/>
    <w:unhideWhenUsed/>
    <w:qFormat/>
    <w:rsid w:val="0002688E"/>
    <w:pPr>
      <w:keepNext/>
      <w:keepLines/>
      <w:spacing w:before="280" w:after="290" w:line="376" w:lineRule="auto"/>
      <w:outlineLvl w:val="3"/>
    </w:pPr>
    <w:rPr>
      <w:rFonts w:ascii="Times New Roman" w:eastAsia="SimHei" w:hAnsi="Times New Roman" w:cstheme="majorBidi"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2688E"/>
    <w:rPr>
      <w:rFonts w:ascii="Times New Roman" w:eastAsia="SimHei" w:hAnsi="Times New Roman" w:cs="Times New Roman"/>
      <w:bCs/>
      <w:kern w:val="44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2688E"/>
    <w:rPr>
      <w:rFonts w:ascii="Times New Roman" w:eastAsia="SimHei" w:hAnsi="Times New Roman" w:cs="Times New Roman"/>
      <w:bCs/>
      <w:sz w:val="30"/>
      <w:szCs w:val="30"/>
    </w:rPr>
  </w:style>
  <w:style w:type="character" w:customStyle="1" w:styleId="Heading3Char">
    <w:name w:val="Heading 3 Char"/>
    <w:basedOn w:val="DefaultParagraphFont"/>
    <w:link w:val="Heading3"/>
    <w:uiPriority w:val="9"/>
    <w:rsid w:val="0002688E"/>
    <w:rPr>
      <w:rFonts w:ascii="Times New Roman" w:eastAsia="SimHei" w:hAnsi="Times New Roman"/>
      <w:bCs/>
      <w:sz w:val="28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2688E"/>
    <w:rPr>
      <w:rFonts w:ascii="Times New Roman" w:eastAsia="SimHei" w:hAnsi="Times New Roman" w:cstheme="majorBidi"/>
      <w:bCs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C74BB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C74BB4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C74BB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C74BB4"/>
    <w:rPr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5946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329</Words>
  <Characters>1881</Characters>
  <Application>Microsoft Office Word</Application>
  <DocSecurity>0</DocSecurity>
  <Lines>15</Lines>
  <Paragraphs>4</Paragraphs>
  <ScaleCrop>false</ScaleCrop>
  <Company/>
  <LinksUpToDate>false</LinksUpToDate>
  <CharactersWithSpaces>2206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Charis Green</cp:lastModifiedBy>
  <cp:revision>5</cp:revision>
  <dcterms:created xsi:type="dcterms:W3CDTF">2022-08-24T07:33:00Z</dcterms:created>
  <dcterms:modified xsi:type="dcterms:W3CDTF">2022-08-30T12:49:00Z</dcterms:modified>
</cp:coreProperties>
</file>