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highlight w:val="none"/>
        </w:rPr>
        <w:t>Table S1. Summary of studies included in the dabigatran PopPK and PK/PD analysis.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82"/>
        <w:gridCol w:w="1335"/>
        <w:gridCol w:w="880"/>
        <w:gridCol w:w="1553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Study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Objective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Population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N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Ticagrelor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dosing</w:t>
            </w:r>
            <w:bookmarkEnd w:id="0"/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PK sampling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PD sampling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BE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HVs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118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bookmarkStart w:id="1" w:name="OLE_LINK4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mg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single dose,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in fasted or fed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state</w:t>
            </w:r>
            <w:bookmarkEnd w:id="1"/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Full PK, 0-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48 h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0,2,8,12h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Real-world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study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Patients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 mg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twice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dose, </w:t>
            </w:r>
          </w:p>
          <w:p>
            <w:pPr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in fasted or fed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state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one</w:t>
            </w:r>
          </w:p>
          <w:p>
            <w:pPr>
              <w:rPr>
                <w:rFonts w:hint="eastAsia" w:ascii="黑体" w:hAnsi="黑体" w:eastAsia="黑体" w:cs="黑体"/>
                <w:highlight w:val="none"/>
                <w:vertAlign w:val="baseline"/>
                <w:lang w:eastAsia="zh-CN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2,12h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48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pPr>
        <w:widowControl/>
        <w:spacing w:line="480" w:lineRule="auto"/>
        <w:rPr>
          <w:rFonts w:ascii="Times New Roman" w:hAnsi="Times New Roman" w:cs="Times New Roman"/>
          <w:highlight w:val="non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E5NzhjYWIxZTU0NzNhOWJiMTk2NjMxMGU0YWUifQ=="/>
  </w:docVars>
  <w:rsids>
    <w:rsidRoot w:val="00000000"/>
    <w:rsid w:val="115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</dc:creator>
  <cp:lastModifiedBy>刘亚欧</cp:lastModifiedBy>
  <dcterms:modified xsi:type="dcterms:W3CDTF">2022-10-17T12:47:39Z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F89F0C500BB340BE85369FCB9F1132E4</vt:lpwstr>
  </property>
</Properties>
</file>