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27EEE6" w14:textId="77777777" w:rsidR="00654E8F" w:rsidRPr="001549D3" w:rsidRDefault="00654E8F" w:rsidP="0001436A">
      <w:pPr>
        <w:pStyle w:val="SupplementaryMaterial"/>
        <w:rPr>
          <w:b w:val="0"/>
        </w:rPr>
      </w:pPr>
      <w:r w:rsidRPr="001549D3">
        <w:t>Supplementary Material</w:t>
      </w:r>
    </w:p>
    <w:p w14:paraId="7B65BC41" w14:textId="0EE52094" w:rsidR="00DE23E8" w:rsidRDefault="00A7417C" w:rsidP="00654E8F">
      <w:pPr>
        <w:spacing w:before="240"/>
      </w:pPr>
      <w:r>
        <w:rPr>
          <w:rFonts w:cs="Times New Roman"/>
          <w:b/>
          <w:noProof/>
          <w:szCs w:val="24"/>
        </w:rPr>
        <w:drawing>
          <wp:inline distT="0" distB="0" distL="0" distR="0" wp14:anchorId="3F1C77F5" wp14:editId="3EB15FF4">
            <wp:extent cx="6355715" cy="540512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55715" cy="5405120"/>
                    </a:xfrm>
                    <a:prstGeom prst="rect">
                      <a:avLst/>
                    </a:prstGeom>
                  </pic:spPr>
                </pic:pic>
              </a:graphicData>
            </a:graphic>
          </wp:inline>
        </w:drawing>
      </w:r>
    </w:p>
    <w:p w14:paraId="071F78A1" w14:textId="6A1A2560" w:rsidR="00A7417C" w:rsidRDefault="00A7417C" w:rsidP="00654E8F">
      <w:pPr>
        <w:spacing w:before="240"/>
      </w:pPr>
      <w:r w:rsidRPr="002A23FA">
        <w:rPr>
          <w:b/>
        </w:rPr>
        <w:t>Figure S1</w:t>
      </w:r>
      <w:r>
        <w:t xml:space="preserve">. </w:t>
      </w:r>
      <w:bookmarkStart w:id="0" w:name="OLE_LINK1"/>
      <w:r w:rsidRPr="00FD6808">
        <w:t xml:space="preserve">Permutation test plots for the OPLS-DA model comparing the </w:t>
      </w:r>
      <w:r>
        <w:t>organic extracts of chemovars A</w:t>
      </w:r>
      <w:r w:rsidRPr="00FD6808">
        <w:t xml:space="preserve"> and</w:t>
      </w:r>
      <w:r>
        <w:t xml:space="preserve"> B</w:t>
      </w:r>
      <w:r w:rsidRPr="00FD6808">
        <w:t xml:space="preserve"> (R</w:t>
      </w:r>
      <w:r w:rsidRPr="00A7417C">
        <w:rPr>
          <w:vertAlign w:val="superscript"/>
        </w:rPr>
        <w:t>2</w:t>
      </w:r>
      <w:r w:rsidRPr="00FD6808">
        <w:t xml:space="preserve">Y = </w:t>
      </w:r>
      <w:r w:rsidR="00A10093">
        <w:t>0.99</w:t>
      </w:r>
      <w:r w:rsidRPr="00FD6808">
        <w:t xml:space="preserve"> and Q</w:t>
      </w:r>
      <w:r w:rsidRPr="00A7417C">
        <w:rPr>
          <w:vertAlign w:val="superscript"/>
        </w:rPr>
        <w:t>2</w:t>
      </w:r>
      <w:r w:rsidRPr="00FD6808">
        <w:t xml:space="preserve">Y = </w:t>
      </w:r>
      <w:r w:rsidR="00A10093">
        <w:t>0.99</w:t>
      </w:r>
      <w:r w:rsidRPr="00FD6808">
        <w:t>).</w:t>
      </w:r>
      <w:bookmarkEnd w:id="0"/>
    </w:p>
    <w:p w14:paraId="050E47FB" w14:textId="600AE4BE" w:rsidR="00A7417C" w:rsidRDefault="00A7417C">
      <w:pPr>
        <w:spacing w:before="0" w:after="200" w:line="276" w:lineRule="auto"/>
      </w:pPr>
    </w:p>
    <w:p w14:paraId="604DA534" w14:textId="77777777" w:rsidR="00A7417C" w:rsidRDefault="00A7417C" w:rsidP="00A7417C">
      <w:pPr>
        <w:keepNext/>
        <w:spacing w:before="240"/>
      </w:pPr>
      <w:r>
        <w:rPr>
          <w:noProof/>
        </w:rPr>
        <w:lastRenderedPageBreak/>
        <w:drawing>
          <wp:inline distT="0" distB="0" distL="0" distR="0" wp14:anchorId="10C18AD4" wp14:editId="6BF798FE">
            <wp:extent cx="6208395" cy="3435350"/>
            <wp:effectExtent l="0" t="0" r="190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val="0"/>
                        </a:ext>
                      </a:extLst>
                    </a:blip>
                    <a:stretch>
                      <a:fillRect/>
                    </a:stretch>
                  </pic:blipFill>
                  <pic:spPr>
                    <a:xfrm>
                      <a:off x="0" y="0"/>
                      <a:ext cx="6208395" cy="3435350"/>
                    </a:xfrm>
                    <a:prstGeom prst="rect">
                      <a:avLst/>
                    </a:prstGeom>
                  </pic:spPr>
                </pic:pic>
              </a:graphicData>
            </a:graphic>
          </wp:inline>
        </w:drawing>
      </w:r>
    </w:p>
    <w:p w14:paraId="1DC7B042" w14:textId="42A2B447" w:rsidR="00A7417C" w:rsidRDefault="00A7417C" w:rsidP="00A7417C">
      <w:pPr>
        <w:pStyle w:val="Caption"/>
        <w:rPr>
          <w:b w:val="0"/>
          <w:bCs w:val="0"/>
        </w:rPr>
      </w:pPr>
      <w:r>
        <w:t>Figure S2</w:t>
      </w:r>
      <w:r w:rsidRPr="002A23FA">
        <w:rPr>
          <w:b w:val="0"/>
        </w:rPr>
        <w:t xml:space="preserve">. </w:t>
      </w:r>
      <w:r w:rsidRPr="00FD6808">
        <w:rPr>
          <w:b w:val="0"/>
          <w:bCs w:val="0"/>
        </w:rPr>
        <w:t xml:space="preserve">ROC analysis curves derived from the OPLS-DA model comparing the </w:t>
      </w:r>
      <w:r>
        <w:rPr>
          <w:b w:val="0"/>
          <w:bCs w:val="0"/>
        </w:rPr>
        <w:t>organic extracts of</w:t>
      </w:r>
      <w:r w:rsidRPr="00FD6808">
        <w:rPr>
          <w:b w:val="0"/>
          <w:bCs w:val="0"/>
        </w:rPr>
        <w:t xml:space="preserve"> </w:t>
      </w:r>
      <w:r>
        <w:rPr>
          <w:b w:val="0"/>
          <w:bCs w:val="0"/>
        </w:rPr>
        <w:t>chemovars</w:t>
      </w:r>
      <w:r w:rsidRPr="00FD6808">
        <w:rPr>
          <w:b w:val="0"/>
          <w:bCs w:val="0"/>
        </w:rPr>
        <w:t xml:space="preserve"> </w:t>
      </w:r>
      <w:r>
        <w:rPr>
          <w:b w:val="0"/>
          <w:bCs w:val="0"/>
        </w:rPr>
        <w:t xml:space="preserve">A and B </w:t>
      </w:r>
      <w:r w:rsidRPr="00FD6808">
        <w:rPr>
          <w:b w:val="0"/>
          <w:bCs w:val="0"/>
        </w:rPr>
        <w:t>(AUC = 1.00).</w:t>
      </w:r>
    </w:p>
    <w:p w14:paraId="3613487C" w14:textId="68878FD2" w:rsidR="003E4E6C" w:rsidRDefault="003E4E6C">
      <w:pPr>
        <w:spacing w:before="0" w:after="200" w:line="276" w:lineRule="auto"/>
      </w:pPr>
      <w:r>
        <w:br w:type="page"/>
      </w:r>
    </w:p>
    <w:p w14:paraId="33A547C0" w14:textId="1FC7D31A" w:rsidR="00A7417C" w:rsidRDefault="003E4E6C">
      <w:pPr>
        <w:spacing w:before="0" w:after="200" w:line="276" w:lineRule="auto"/>
      </w:pPr>
      <w:r>
        <w:rPr>
          <w:b/>
          <w:noProof/>
        </w:rPr>
        <w:lastRenderedPageBreak/>
        <w:drawing>
          <wp:inline distT="0" distB="0" distL="0" distR="0" wp14:anchorId="2C2B4756" wp14:editId="6AC8A91D">
            <wp:extent cx="6208395" cy="438721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HSQC-chemovarB-Infected.pdf"/>
                    <pic:cNvPicPr/>
                  </pic:nvPicPr>
                  <pic:blipFill>
                    <a:blip r:embed="rId10">
                      <a:extLst>
                        <a:ext uri="{28A0092B-C50C-407E-A947-70E740481C1C}">
                          <a14:useLocalDpi xmlns:a14="http://schemas.microsoft.com/office/drawing/2010/main" val="0"/>
                        </a:ext>
                      </a:extLst>
                    </a:blip>
                    <a:stretch>
                      <a:fillRect/>
                    </a:stretch>
                  </pic:blipFill>
                  <pic:spPr>
                    <a:xfrm>
                      <a:off x="0" y="0"/>
                      <a:ext cx="6208395" cy="4387215"/>
                    </a:xfrm>
                    <a:prstGeom prst="rect">
                      <a:avLst/>
                    </a:prstGeom>
                  </pic:spPr>
                </pic:pic>
              </a:graphicData>
            </a:graphic>
          </wp:inline>
        </w:drawing>
      </w:r>
      <w:r w:rsidRPr="003E4E6C">
        <w:rPr>
          <w:b/>
        </w:rPr>
        <w:t>Figure S3</w:t>
      </w:r>
      <w:r>
        <w:t>. HSQC spectr</w:t>
      </w:r>
      <w:r w:rsidR="00F6407B">
        <w:t>um</w:t>
      </w:r>
      <w:r>
        <w:t xml:space="preserve"> of a</w:t>
      </w:r>
      <w:r w:rsidR="00003242">
        <w:t xml:space="preserve"> representative</w:t>
      </w:r>
      <w:r>
        <w:t xml:space="preserve"> aqueous extract from chemovar B </w:t>
      </w:r>
      <w:r w:rsidR="00085644">
        <w:t>inflorescences</w:t>
      </w:r>
      <w:r>
        <w:t xml:space="preserve">. The </w:t>
      </w:r>
      <w:r w:rsidRPr="00253E22">
        <w:rPr>
          <w:vertAlign w:val="superscript"/>
        </w:rPr>
        <w:t>1</w:t>
      </w:r>
      <w:r>
        <w:t>H-</w:t>
      </w:r>
      <w:r w:rsidRPr="00253E22">
        <w:rPr>
          <w:vertAlign w:val="superscript"/>
        </w:rPr>
        <w:t>13</w:t>
      </w:r>
      <w:r>
        <w:t xml:space="preserve">C correlation corresponding to the </w:t>
      </w:r>
      <w:r w:rsidR="00F6407B" w:rsidRPr="00F6407B">
        <w:rPr>
          <w:i/>
        </w:rPr>
        <w:t>N</w:t>
      </w:r>
      <w:r w:rsidR="00F6407B">
        <w:t>-</w:t>
      </w:r>
      <w:r>
        <w:t>methyl groups in betaine is annotated.</w:t>
      </w:r>
    </w:p>
    <w:p w14:paraId="407F0DB7" w14:textId="77777777" w:rsidR="00A7417C" w:rsidRDefault="00A7417C">
      <w:pPr>
        <w:spacing w:before="0" w:after="200" w:line="276" w:lineRule="auto"/>
        <w:rPr>
          <w:b/>
        </w:rPr>
      </w:pPr>
      <w:r>
        <w:rPr>
          <w:b/>
        </w:rPr>
        <w:br w:type="page"/>
      </w:r>
    </w:p>
    <w:p w14:paraId="16E319AE" w14:textId="38326C59" w:rsidR="00A7417C" w:rsidRPr="00A7417C" w:rsidRDefault="00AC702B" w:rsidP="00AC702B">
      <w:pPr>
        <w:spacing w:before="0" w:after="200" w:line="276" w:lineRule="auto"/>
        <w:jc w:val="center"/>
      </w:pPr>
      <w:r>
        <w:rPr>
          <w:noProof/>
        </w:rPr>
        <w:lastRenderedPageBreak/>
        <w:drawing>
          <wp:inline distT="0" distB="0" distL="0" distR="0" wp14:anchorId="01736595" wp14:editId="3F343272">
            <wp:extent cx="4320000" cy="4571856"/>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S4.tif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20000" cy="4571856"/>
                    </a:xfrm>
                    <a:prstGeom prst="rect">
                      <a:avLst/>
                    </a:prstGeom>
                  </pic:spPr>
                </pic:pic>
              </a:graphicData>
            </a:graphic>
          </wp:inline>
        </w:drawing>
      </w:r>
    </w:p>
    <w:p w14:paraId="2EE05927" w14:textId="0B88B419" w:rsidR="003E4E6C" w:rsidRDefault="00A7417C">
      <w:pPr>
        <w:spacing w:before="0" w:after="200" w:line="276" w:lineRule="auto"/>
      </w:pPr>
      <w:r w:rsidRPr="00A7417C">
        <w:rPr>
          <w:b/>
        </w:rPr>
        <w:t xml:space="preserve">Figure </w:t>
      </w:r>
      <w:r w:rsidR="00D0073F">
        <w:rPr>
          <w:b/>
        </w:rPr>
        <w:t>S</w:t>
      </w:r>
      <w:r w:rsidR="003E4E6C">
        <w:rPr>
          <w:b/>
        </w:rPr>
        <w:t>4</w:t>
      </w:r>
      <w:r>
        <w:t xml:space="preserve">. </w:t>
      </w:r>
      <w:r w:rsidR="000A37B7" w:rsidRPr="000A37B7">
        <w:rPr>
          <w:vertAlign w:val="superscript"/>
        </w:rPr>
        <w:t>1</w:t>
      </w:r>
      <w:r w:rsidR="000A37B7">
        <w:t>H NMR spectr</w:t>
      </w:r>
      <w:r w:rsidR="000E3C8A">
        <w:t>um</w:t>
      </w:r>
      <w:r w:rsidR="000A37B7">
        <w:t xml:space="preserve"> of a</w:t>
      </w:r>
      <w:r w:rsidR="00003242">
        <w:t xml:space="preserve"> representative</w:t>
      </w:r>
      <w:r w:rsidR="000A37B7">
        <w:t xml:space="preserve"> aqueous extract from chemovar B </w:t>
      </w:r>
      <w:r w:rsidR="00085644">
        <w:t xml:space="preserve">inflorescences </w:t>
      </w:r>
      <w:r w:rsidR="000A37B7">
        <w:t>indicating the resonance</w:t>
      </w:r>
      <w:r w:rsidR="001177DA">
        <w:t>s</w:t>
      </w:r>
      <w:r w:rsidR="000A37B7">
        <w:t xml:space="preserve"> </w:t>
      </w:r>
      <w:r w:rsidR="00BB46B5">
        <w:t>tentatively assigned</w:t>
      </w:r>
      <w:r w:rsidR="000A37B7">
        <w:t xml:space="preserve"> to the </w:t>
      </w:r>
      <w:r w:rsidR="000A37B7" w:rsidRPr="000A37B7">
        <w:rPr>
          <w:i/>
        </w:rPr>
        <w:t>N</w:t>
      </w:r>
      <w:r w:rsidR="000A37B7">
        <w:t>-methyl proton</w:t>
      </w:r>
      <w:r w:rsidR="00042604">
        <w:t>s</w:t>
      </w:r>
      <w:r w:rsidR="000A37B7">
        <w:t xml:space="preserve"> </w:t>
      </w:r>
      <w:r w:rsidR="001177DA">
        <w:t xml:space="preserve">of </w:t>
      </w:r>
      <w:r w:rsidR="001F5001">
        <w:t>choline</w:t>
      </w:r>
      <w:r w:rsidR="001177DA">
        <w:t xml:space="preserve"> and </w:t>
      </w:r>
      <w:r w:rsidR="001F5001">
        <w:t>betaine</w:t>
      </w:r>
      <w:r w:rsidR="001177DA">
        <w:t xml:space="preserve"> </w:t>
      </w:r>
      <w:r w:rsidR="00BD4B8A">
        <w:t>at 3.</w:t>
      </w:r>
      <w:r w:rsidR="001F5001">
        <w:t>18</w:t>
      </w:r>
      <w:r w:rsidR="00BD4B8A">
        <w:t xml:space="preserve"> </w:t>
      </w:r>
      <w:r w:rsidR="001177DA">
        <w:t>and 3.</w:t>
      </w:r>
      <w:r w:rsidR="001F5001">
        <w:t>23</w:t>
      </w:r>
      <w:r w:rsidR="001177DA">
        <w:t xml:space="preserve"> </w:t>
      </w:r>
      <w:r w:rsidR="00BD4B8A">
        <w:t>ppm</w:t>
      </w:r>
      <w:r w:rsidR="001177DA">
        <w:t>, respectively</w:t>
      </w:r>
      <w:r w:rsidR="00BD4B8A">
        <w:t xml:space="preserve"> </w:t>
      </w:r>
      <w:r w:rsidR="000A37B7">
        <w:t xml:space="preserve">(a), and </w:t>
      </w:r>
      <w:r w:rsidR="00D0073F">
        <w:t xml:space="preserve">of </w:t>
      </w:r>
      <w:r w:rsidR="00BB46B5">
        <w:t xml:space="preserve">the same sample after </w:t>
      </w:r>
      <w:r w:rsidR="00D0073F">
        <w:t xml:space="preserve">the </w:t>
      </w:r>
      <w:r w:rsidR="001F5001">
        <w:t xml:space="preserve">successive </w:t>
      </w:r>
      <w:r w:rsidR="00BB46B5">
        <w:t xml:space="preserve">addition of </w:t>
      </w:r>
      <w:r w:rsidR="00042604">
        <w:t>1</w:t>
      </w:r>
      <w:r w:rsidR="00BB46B5">
        <w:t xml:space="preserve">0 </w:t>
      </w:r>
      <w:r w:rsidR="00BB46B5" w:rsidRPr="00BB46B5">
        <w:rPr>
          <w:rFonts w:ascii="Symbol" w:hAnsi="Symbol"/>
        </w:rPr>
        <w:t></w:t>
      </w:r>
      <w:r w:rsidR="00BB46B5">
        <w:t xml:space="preserve">L </w:t>
      </w:r>
      <w:r w:rsidR="001F5001">
        <w:t xml:space="preserve">aliquots </w:t>
      </w:r>
      <w:r w:rsidR="00BB46B5">
        <w:t xml:space="preserve">of 50 mM </w:t>
      </w:r>
      <w:r w:rsidR="001F5001">
        <w:t xml:space="preserve">choline (b) and </w:t>
      </w:r>
      <w:r w:rsidR="00BB46B5">
        <w:t xml:space="preserve">betaine </w:t>
      </w:r>
      <w:r w:rsidR="001F5001">
        <w:t xml:space="preserve">(c) </w:t>
      </w:r>
      <w:r w:rsidR="00042604">
        <w:t xml:space="preserve">standard </w:t>
      </w:r>
      <w:r w:rsidR="00BB46B5">
        <w:t>solution</w:t>
      </w:r>
      <w:r w:rsidR="001F5001">
        <w:t>s</w:t>
      </w:r>
      <w:r w:rsidR="00556846">
        <w:t>.</w:t>
      </w:r>
      <w:r w:rsidR="00556846">
        <w:br w:type="page"/>
      </w:r>
    </w:p>
    <w:p w14:paraId="1F116926" w14:textId="4A008B24" w:rsidR="000F20BB" w:rsidRDefault="001A1C67" w:rsidP="000F20BB">
      <w:pPr>
        <w:spacing w:before="0" w:after="200" w:line="276" w:lineRule="auto"/>
        <w:jc w:val="center"/>
        <w:rPr>
          <w:b/>
        </w:rPr>
      </w:pPr>
      <w:r>
        <w:rPr>
          <w:b/>
          <w:noProof/>
        </w:rPr>
        <w:lastRenderedPageBreak/>
        <w:drawing>
          <wp:inline distT="0" distB="0" distL="0" distR="0" wp14:anchorId="11E6B2C2" wp14:editId="6186E73D">
            <wp:extent cx="4323397" cy="6132791"/>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S5.tiff"/>
                    <pic:cNvPicPr/>
                  </pic:nvPicPr>
                  <pic:blipFill rotWithShape="1">
                    <a:blip r:embed="rId12" cstate="print">
                      <a:extLst>
                        <a:ext uri="{28A0092B-C50C-407E-A947-70E740481C1C}">
                          <a14:useLocalDpi xmlns:a14="http://schemas.microsoft.com/office/drawing/2010/main" val="0"/>
                        </a:ext>
                      </a:extLst>
                    </a:blip>
                    <a:srcRect r="1197"/>
                    <a:stretch/>
                  </pic:blipFill>
                  <pic:spPr bwMode="auto">
                    <a:xfrm>
                      <a:off x="0" y="0"/>
                      <a:ext cx="4328036" cy="6139371"/>
                    </a:xfrm>
                    <a:prstGeom prst="rect">
                      <a:avLst/>
                    </a:prstGeom>
                    <a:ln>
                      <a:noFill/>
                    </a:ln>
                    <a:extLst>
                      <a:ext uri="{53640926-AAD7-44D8-BBD7-CCE9431645EC}">
                        <a14:shadowObscured xmlns:a14="http://schemas.microsoft.com/office/drawing/2010/main"/>
                      </a:ext>
                    </a:extLst>
                  </pic:spPr>
                </pic:pic>
              </a:graphicData>
            </a:graphic>
          </wp:inline>
        </w:drawing>
      </w:r>
    </w:p>
    <w:p w14:paraId="3BC5853B" w14:textId="665814ED" w:rsidR="003E4E6C" w:rsidRDefault="003E4E6C">
      <w:pPr>
        <w:spacing w:before="0" w:after="200" w:line="276" w:lineRule="auto"/>
      </w:pPr>
      <w:r w:rsidRPr="000A37B7">
        <w:rPr>
          <w:b/>
        </w:rPr>
        <w:t>Figure S5</w:t>
      </w:r>
      <w:r>
        <w:t xml:space="preserve">. </w:t>
      </w:r>
      <w:r w:rsidR="00880271">
        <w:t xml:space="preserve">b) </w:t>
      </w:r>
      <w:r>
        <w:t>STOCSY</w:t>
      </w:r>
      <w:r w:rsidR="00E413F5">
        <w:t xml:space="preserve"> </w:t>
      </w:r>
      <w:r w:rsidR="00690F71">
        <w:t>spectrum</w:t>
      </w:r>
      <w:r w:rsidR="00042604">
        <w:t xml:space="preserve"> obtained </w:t>
      </w:r>
      <w:r w:rsidR="00252E43">
        <w:t>using</w:t>
      </w:r>
      <w:r w:rsidR="00585942">
        <w:t xml:space="preserve"> the </w:t>
      </w:r>
      <w:r w:rsidR="00563080">
        <w:t xml:space="preserve">depurated aqueous extract </w:t>
      </w:r>
      <w:r w:rsidR="00563080" w:rsidRPr="00563080">
        <w:rPr>
          <w:vertAlign w:val="superscript"/>
        </w:rPr>
        <w:t>1</w:t>
      </w:r>
      <w:r w:rsidR="00563080">
        <w:t xml:space="preserve">H NMR </w:t>
      </w:r>
      <w:r w:rsidR="00585942">
        <w:t xml:space="preserve">data matrix employed in the multivariate analyses and the signal at </w:t>
      </w:r>
      <w:r w:rsidR="00F12F9D">
        <w:t>3.44</w:t>
      </w:r>
      <w:r w:rsidR="00585942">
        <w:t xml:space="preserve"> ppm as</w:t>
      </w:r>
      <w:r w:rsidR="00515C69">
        <w:t xml:space="preserve"> </w:t>
      </w:r>
      <w:r w:rsidR="00563080">
        <w:t xml:space="preserve">a </w:t>
      </w:r>
      <w:r w:rsidR="00585942">
        <w:t>driver peak</w:t>
      </w:r>
      <w:r w:rsidR="00252E43">
        <w:t xml:space="preserve">. </w:t>
      </w:r>
      <w:r w:rsidR="00666437">
        <w:t xml:space="preserve">The STOSCY algorithm identifies peaks that have high covariance with </w:t>
      </w:r>
      <w:r w:rsidR="00880271">
        <w:t>a</w:t>
      </w:r>
      <w:r w:rsidR="00666437">
        <w:t xml:space="preserve"> </w:t>
      </w:r>
      <w:r w:rsidR="00880271">
        <w:t xml:space="preserve">selected </w:t>
      </w:r>
      <w:r w:rsidR="00666437">
        <w:t>driver peak, and can help identify structural or biological correlations (</w:t>
      </w:r>
      <w:proofErr w:type="spellStart"/>
      <w:r w:rsidR="00666437">
        <w:t>Cloarec</w:t>
      </w:r>
      <w:proofErr w:type="spellEnd"/>
      <w:r w:rsidR="00666437">
        <w:t xml:space="preserve"> et al., 2005).</w:t>
      </w:r>
      <w:r w:rsidR="00880271">
        <w:t xml:space="preserve"> </w:t>
      </w:r>
      <w:r w:rsidR="00666437">
        <w:t xml:space="preserve">The results are portrayed as a </w:t>
      </w:r>
      <w:r w:rsidR="00666437" w:rsidRPr="00666437">
        <w:rPr>
          <w:vertAlign w:val="superscript"/>
        </w:rPr>
        <w:t>1</w:t>
      </w:r>
      <w:r w:rsidR="00666437">
        <w:t xml:space="preserve">H </w:t>
      </w:r>
      <w:r w:rsidR="00515C69">
        <w:t xml:space="preserve">trace </w:t>
      </w:r>
      <w:r w:rsidR="00666437">
        <w:t xml:space="preserve">that </w:t>
      </w:r>
      <w:r w:rsidR="00515C69">
        <w:t>is colored using a continuous coloring scheme</w:t>
      </w:r>
      <w:r w:rsidR="00666437">
        <w:t>, and</w:t>
      </w:r>
      <w:r w:rsidR="00515C69">
        <w:t xml:space="preserve"> in which signals </w:t>
      </w:r>
      <w:r w:rsidR="001A2628">
        <w:t>that hold</w:t>
      </w:r>
      <w:r w:rsidR="00515C69">
        <w:t xml:space="preserve"> high covariance with the driver peak appear red</w:t>
      </w:r>
      <w:r w:rsidR="00042604">
        <w:t>.</w:t>
      </w:r>
      <w:r>
        <w:t xml:space="preserve"> </w:t>
      </w:r>
      <w:r w:rsidR="001A2628">
        <w:t>Since</w:t>
      </w:r>
      <w:r w:rsidR="00880271">
        <w:t xml:space="preserve"> all </w:t>
      </w:r>
      <w:r w:rsidR="00880271" w:rsidRPr="00880271">
        <w:rPr>
          <w:vertAlign w:val="superscript"/>
        </w:rPr>
        <w:t>1</w:t>
      </w:r>
      <w:r w:rsidR="00880271">
        <w:t xml:space="preserve">H signals </w:t>
      </w:r>
      <w:r w:rsidR="00880271">
        <w:t>in</w:t>
      </w:r>
      <w:r w:rsidR="00880271">
        <w:t xml:space="preserve"> a given molecule vary </w:t>
      </w:r>
      <w:r w:rsidR="00880271">
        <w:t xml:space="preserve">their intensity </w:t>
      </w:r>
      <w:r w:rsidR="00880271">
        <w:t xml:space="preserve">proportionally throughout the </w:t>
      </w:r>
      <w:r w:rsidR="00880271" w:rsidRPr="00880271">
        <w:rPr>
          <w:color w:val="000000" w:themeColor="text1"/>
        </w:rPr>
        <w:t>data matrix</w:t>
      </w:r>
      <w:r w:rsidR="00880271" w:rsidRPr="00880271">
        <w:rPr>
          <w:color w:val="000000" w:themeColor="text1"/>
        </w:rPr>
        <w:t>, they a</w:t>
      </w:r>
      <w:r w:rsidR="00880271" w:rsidRPr="00880271">
        <w:rPr>
          <w:color w:val="000000" w:themeColor="text1"/>
        </w:rPr>
        <w:t xml:space="preserve">ll yield strong STOCSY correlations with </w:t>
      </w:r>
      <w:r w:rsidR="00880271" w:rsidRPr="00880271">
        <w:rPr>
          <w:color w:val="000000" w:themeColor="text1"/>
        </w:rPr>
        <w:t>the</w:t>
      </w:r>
      <w:r w:rsidR="00880271" w:rsidRPr="00880271">
        <w:rPr>
          <w:color w:val="000000" w:themeColor="text1"/>
        </w:rPr>
        <w:t xml:space="preserve"> driver peak within the same molecule.</w:t>
      </w:r>
      <w:r w:rsidR="00880271" w:rsidRPr="00880271">
        <w:rPr>
          <w:color w:val="000000" w:themeColor="text1"/>
        </w:rPr>
        <w:t xml:space="preserve"> </w:t>
      </w:r>
      <w:r w:rsidR="00880271">
        <w:t xml:space="preserve">c) </w:t>
      </w:r>
      <w:r>
        <w:t>1D-TOCSY</w:t>
      </w:r>
      <w:r w:rsidR="00042604">
        <w:t xml:space="preserve"> </w:t>
      </w:r>
      <w:r w:rsidR="00252E43">
        <w:t xml:space="preserve">spectrum </w:t>
      </w:r>
      <w:r w:rsidR="00585942">
        <w:t>obtained on a</w:t>
      </w:r>
      <w:r w:rsidR="00003242">
        <w:t xml:space="preserve"> representative</w:t>
      </w:r>
      <w:r w:rsidR="00585942">
        <w:t xml:space="preserve"> aqueous extract from chemovar A </w:t>
      </w:r>
      <w:r w:rsidR="00085644">
        <w:t xml:space="preserve">inflorescences </w:t>
      </w:r>
      <w:r w:rsidR="00585942">
        <w:t xml:space="preserve">with </w:t>
      </w:r>
      <w:r w:rsidR="00042604">
        <w:t xml:space="preserve">selective </w:t>
      </w:r>
      <w:r w:rsidR="00252E43">
        <w:t xml:space="preserve">excitation of the </w:t>
      </w:r>
      <w:r w:rsidR="00653390">
        <w:t>H</w:t>
      </w:r>
      <w:r w:rsidR="00887755">
        <w:t>2</w:t>
      </w:r>
      <w:r w:rsidR="00653390">
        <w:t xml:space="preserve"> </w:t>
      </w:r>
      <w:r w:rsidR="00252E43">
        <w:t>resonance at</w:t>
      </w:r>
      <w:r w:rsidR="00042604">
        <w:t xml:space="preserve"> </w:t>
      </w:r>
      <w:r w:rsidR="000D4B94">
        <w:t>4.25</w:t>
      </w:r>
      <w:r w:rsidR="00042604">
        <w:t xml:space="preserve"> ppm.</w:t>
      </w:r>
      <w:r>
        <w:t xml:space="preserve"> </w:t>
      </w:r>
      <w:r w:rsidR="00515C69">
        <w:t>Only the signal at 3.44</w:t>
      </w:r>
      <w:r w:rsidR="00653390">
        <w:t xml:space="preserve"> ppm</w:t>
      </w:r>
      <w:r w:rsidR="00515C69">
        <w:t>, which corresponds to the C1</w:t>
      </w:r>
      <w:r w:rsidR="00653390">
        <w:t>-OMe</w:t>
      </w:r>
      <w:r w:rsidR="00515C69">
        <w:t xml:space="preserve"> </w:t>
      </w:r>
      <w:r w:rsidR="00653390">
        <w:t xml:space="preserve">proton </w:t>
      </w:r>
      <w:r w:rsidR="00515C69">
        <w:t xml:space="preserve">signal and is not part of the </w:t>
      </w:r>
      <w:r w:rsidR="00AF38EB">
        <w:t xml:space="preserve">cyclitol </w:t>
      </w:r>
      <w:r w:rsidR="00515C69">
        <w:t xml:space="preserve">ring spin system, is absent </w:t>
      </w:r>
      <w:r w:rsidR="00653390">
        <w:t>in the correlation spectrum.</w:t>
      </w:r>
      <w:r w:rsidR="00515C69">
        <w:t xml:space="preserve"> </w:t>
      </w:r>
      <w:r w:rsidR="00880271">
        <w:t xml:space="preserve">d) </w:t>
      </w:r>
      <w:r>
        <w:t>1D</w:t>
      </w:r>
      <w:r w:rsidR="00042604">
        <w:noBreakHyphen/>
      </w:r>
      <w:r>
        <w:t>NOESY</w:t>
      </w:r>
      <w:r w:rsidR="00042604">
        <w:t xml:space="preserve"> </w:t>
      </w:r>
      <w:r w:rsidR="00252E43">
        <w:t xml:space="preserve">spectrum </w:t>
      </w:r>
      <w:r w:rsidR="00252E43">
        <w:lastRenderedPageBreak/>
        <w:t xml:space="preserve">obtained on the same sample with selective inversion of the </w:t>
      </w:r>
      <w:r w:rsidR="00653390">
        <w:t>H</w:t>
      </w:r>
      <w:r w:rsidR="00887755">
        <w:t>2</w:t>
      </w:r>
      <w:r w:rsidR="00653390">
        <w:t xml:space="preserve"> </w:t>
      </w:r>
      <w:r w:rsidR="00252E43">
        <w:t xml:space="preserve">resonance at </w:t>
      </w:r>
      <w:r w:rsidR="000D4B94">
        <w:t>4.25</w:t>
      </w:r>
      <w:r w:rsidR="00252E43">
        <w:t xml:space="preserve"> ppm</w:t>
      </w:r>
      <w:r w:rsidR="000D4B94">
        <w:t>.</w:t>
      </w:r>
      <w:r w:rsidR="00653390">
        <w:t xml:space="preserve"> Dipolar couplings </w:t>
      </w:r>
      <w:r w:rsidR="00AF38EB">
        <w:t>to</w:t>
      </w:r>
      <w:r w:rsidR="00653390">
        <w:t xml:space="preserve"> the C1</w:t>
      </w:r>
      <w:r w:rsidR="00653390">
        <w:noBreakHyphen/>
        <w:t>OMe, H</w:t>
      </w:r>
      <w:r w:rsidR="00B1718D">
        <w:t>1</w:t>
      </w:r>
      <w:r w:rsidR="00653390">
        <w:t xml:space="preserve">, </w:t>
      </w:r>
      <w:r w:rsidR="00653390" w:rsidRPr="00077892">
        <w:t>and H</w:t>
      </w:r>
      <w:r w:rsidR="00B1718D" w:rsidRPr="00077892">
        <w:t>3</w:t>
      </w:r>
      <w:r w:rsidR="00653390" w:rsidRPr="00077892">
        <w:t xml:space="preserve"> protons </w:t>
      </w:r>
      <w:r w:rsidR="00AF38EB" w:rsidRPr="00077892">
        <w:t>with enhancements of 1.</w:t>
      </w:r>
      <w:r w:rsidR="00077892" w:rsidRPr="00077892">
        <w:t>07</w:t>
      </w:r>
      <w:r w:rsidR="00AF38EB" w:rsidRPr="00077892">
        <w:t xml:space="preserve">, </w:t>
      </w:r>
      <w:r w:rsidR="00077892" w:rsidRPr="00077892">
        <w:t>1.31</w:t>
      </w:r>
      <w:r w:rsidR="00AF38EB" w:rsidRPr="00077892">
        <w:t xml:space="preserve">, and </w:t>
      </w:r>
      <w:r w:rsidR="00077892" w:rsidRPr="00077892">
        <w:t>1</w:t>
      </w:r>
      <w:r w:rsidR="00AF38EB" w:rsidRPr="00077892">
        <w:t>.</w:t>
      </w:r>
      <w:r w:rsidR="00077892" w:rsidRPr="00077892">
        <w:t>12</w:t>
      </w:r>
      <w:r w:rsidR="00AF38EB" w:rsidRPr="00077892">
        <w:t xml:space="preserve">%, respectively, </w:t>
      </w:r>
      <w:r w:rsidR="00653390" w:rsidRPr="00077892">
        <w:t>are observed.</w:t>
      </w:r>
      <w:r w:rsidR="00690F71" w:rsidRPr="00077892">
        <w:t xml:space="preserve"> </w:t>
      </w:r>
      <w:r w:rsidR="00880271">
        <w:t xml:space="preserve">a) Standard 1D </w:t>
      </w:r>
      <w:r w:rsidR="00690F71" w:rsidRPr="000A37B7">
        <w:rPr>
          <w:vertAlign w:val="superscript"/>
        </w:rPr>
        <w:t>1</w:t>
      </w:r>
      <w:r w:rsidR="00690F71">
        <w:t xml:space="preserve">H NMR spectrum </w:t>
      </w:r>
      <w:r w:rsidR="00880271">
        <w:t xml:space="preserve">of the same aqueous sample </w:t>
      </w:r>
      <w:r w:rsidR="00690F71">
        <w:t>presented for comparison.</w:t>
      </w:r>
      <w:r w:rsidR="00D105D9">
        <w:t xml:space="preserve"> </w:t>
      </w:r>
      <w:r w:rsidR="00D105D9" w:rsidRPr="00D105D9">
        <w:rPr>
          <w:vertAlign w:val="superscript"/>
        </w:rPr>
        <w:t>1</w:t>
      </w:r>
      <w:r w:rsidR="00D105D9">
        <w:t xml:space="preserve">H signals </w:t>
      </w:r>
      <w:r w:rsidR="00563080">
        <w:t>corresponding to</w:t>
      </w:r>
      <w:r w:rsidR="00D105D9">
        <w:t xml:space="preserve"> quebrachitol </w:t>
      </w:r>
      <w:r w:rsidR="00563080">
        <w:t xml:space="preserve">and </w:t>
      </w:r>
      <w:r w:rsidR="00D105D9">
        <w:t>are annotated.</w:t>
      </w:r>
    </w:p>
    <w:p w14:paraId="1506EFB4" w14:textId="77777777" w:rsidR="00666437" w:rsidRDefault="00666437">
      <w:pPr>
        <w:spacing w:before="0" w:after="200" w:line="276" w:lineRule="auto"/>
      </w:pPr>
      <w:r>
        <w:br w:type="page"/>
      </w:r>
    </w:p>
    <w:p w14:paraId="283435B4" w14:textId="11E4E3E1" w:rsidR="003E4E6C" w:rsidRDefault="000B0F61">
      <w:pPr>
        <w:spacing w:before="0" w:after="200" w:line="276" w:lineRule="auto"/>
      </w:pPr>
      <w:r>
        <w:rPr>
          <w:noProof/>
        </w:rPr>
        <w:lastRenderedPageBreak/>
        <w:drawing>
          <wp:inline distT="0" distB="0" distL="0" distR="0" wp14:anchorId="3C6CB14F" wp14:editId="767EEB09">
            <wp:extent cx="6208395" cy="4326890"/>
            <wp:effectExtent l="0" t="0" r="190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HSQC.tif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08395" cy="4326890"/>
                    </a:xfrm>
                    <a:prstGeom prst="rect">
                      <a:avLst/>
                    </a:prstGeom>
                  </pic:spPr>
                </pic:pic>
              </a:graphicData>
            </a:graphic>
          </wp:inline>
        </w:drawing>
      </w:r>
    </w:p>
    <w:p w14:paraId="67B19749" w14:textId="222738F9" w:rsidR="003E4E6C" w:rsidRDefault="003E4E6C">
      <w:pPr>
        <w:spacing w:before="0" w:after="200" w:line="276" w:lineRule="auto"/>
      </w:pPr>
      <w:r w:rsidRPr="000A37B7">
        <w:rPr>
          <w:b/>
        </w:rPr>
        <w:t>Figure S6</w:t>
      </w:r>
      <w:r>
        <w:t xml:space="preserve">. HSQC </w:t>
      </w:r>
      <w:r w:rsidR="00F6407B">
        <w:t>spectrum of a</w:t>
      </w:r>
      <w:r w:rsidR="00003242">
        <w:t xml:space="preserve"> representative</w:t>
      </w:r>
      <w:r w:rsidR="00F6407B">
        <w:t xml:space="preserve"> aqueous extract from chemovar A </w:t>
      </w:r>
      <w:r w:rsidR="00F33A68">
        <w:t>inflorescences</w:t>
      </w:r>
      <w:r w:rsidR="00F6407B">
        <w:t xml:space="preserve">. </w:t>
      </w:r>
      <w:r w:rsidR="00F6407B" w:rsidRPr="00253E22">
        <w:rPr>
          <w:vertAlign w:val="superscript"/>
        </w:rPr>
        <w:t>1</w:t>
      </w:r>
      <w:r w:rsidR="00F6407B">
        <w:t>H</w:t>
      </w:r>
      <w:r w:rsidR="00E76D2F">
        <w:noBreakHyphen/>
      </w:r>
      <w:r w:rsidR="00F6407B" w:rsidRPr="00253E22">
        <w:rPr>
          <w:vertAlign w:val="superscript"/>
        </w:rPr>
        <w:t>13</w:t>
      </w:r>
      <w:r w:rsidR="00F6407B">
        <w:t xml:space="preserve">C </w:t>
      </w:r>
      <w:r w:rsidR="00CD181A">
        <w:t>one</w:t>
      </w:r>
      <w:r w:rsidR="00653390">
        <w:t xml:space="preserve"> </w:t>
      </w:r>
      <w:r w:rsidR="00CD181A">
        <w:t xml:space="preserve">bond </w:t>
      </w:r>
      <w:r w:rsidR="00F6407B">
        <w:t>correlations corresponding to quebrachitol are annotated</w:t>
      </w:r>
      <w:r w:rsidR="00085644">
        <w:t>.</w:t>
      </w:r>
    </w:p>
    <w:p w14:paraId="5836FC8F" w14:textId="0FD12A6E" w:rsidR="003E4E6C" w:rsidRDefault="003E4E6C">
      <w:pPr>
        <w:spacing w:before="0" w:after="200" w:line="276" w:lineRule="auto"/>
      </w:pPr>
      <w:r>
        <w:br w:type="page"/>
      </w:r>
    </w:p>
    <w:p w14:paraId="76554E36" w14:textId="0A0A3C93" w:rsidR="00FF6E8D" w:rsidRDefault="000B0F61">
      <w:pPr>
        <w:spacing w:before="0" w:after="200" w:line="276" w:lineRule="auto"/>
        <w:rPr>
          <w:b/>
        </w:rPr>
      </w:pPr>
      <w:r>
        <w:rPr>
          <w:b/>
          <w:noProof/>
        </w:rPr>
        <w:lastRenderedPageBreak/>
        <w:drawing>
          <wp:inline distT="0" distB="0" distL="0" distR="0" wp14:anchorId="45C29437" wp14:editId="728E5464">
            <wp:extent cx="6208395" cy="4326890"/>
            <wp:effectExtent l="0" t="0" r="1905"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HMBC.tif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08395" cy="4326890"/>
                    </a:xfrm>
                    <a:prstGeom prst="rect">
                      <a:avLst/>
                    </a:prstGeom>
                  </pic:spPr>
                </pic:pic>
              </a:graphicData>
            </a:graphic>
          </wp:inline>
        </w:drawing>
      </w:r>
    </w:p>
    <w:p w14:paraId="126D9A36" w14:textId="66556D77" w:rsidR="003E4E6C" w:rsidRDefault="003E4E6C">
      <w:pPr>
        <w:spacing w:before="0" w:after="200" w:line="276" w:lineRule="auto"/>
      </w:pPr>
      <w:r w:rsidRPr="000A37B7">
        <w:rPr>
          <w:b/>
        </w:rPr>
        <w:t>Figure S7</w:t>
      </w:r>
      <w:r>
        <w:t xml:space="preserve">. </w:t>
      </w:r>
      <w:r w:rsidR="00D35460">
        <w:t>H</w:t>
      </w:r>
      <w:r w:rsidR="00F6407B">
        <w:t>MBC</w:t>
      </w:r>
      <w:r w:rsidR="00D35460">
        <w:t xml:space="preserve"> spectr</w:t>
      </w:r>
      <w:r w:rsidR="00F6407B">
        <w:t>um</w:t>
      </w:r>
      <w:r w:rsidR="00D35460">
        <w:t xml:space="preserve"> of a</w:t>
      </w:r>
      <w:r w:rsidR="00003242">
        <w:t xml:space="preserve"> representative</w:t>
      </w:r>
      <w:r w:rsidR="00F6407B">
        <w:t xml:space="preserve"> </w:t>
      </w:r>
      <w:r w:rsidR="00D35460">
        <w:t xml:space="preserve">aqueous extract from chemovar A </w:t>
      </w:r>
      <w:r w:rsidR="00F33A68">
        <w:t>inflorescences</w:t>
      </w:r>
      <w:r w:rsidR="00D35460">
        <w:t xml:space="preserve">. </w:t>
      </w:r>
      <w:r w:rsidR="00D35460" w:rsidRPr="00253E22">
        <w:rPr>
          <w:vertAlign w:val="superscript"/>
        </w:rPr>
        <w:t>1</w:t>
      </w:r>
      <w:r w:rsidR="00D35460">
        <w:t>H-</w:t>
      </w:r>
      <w:r w:rsidR="00D35460" w:rsidRPr="00253E22">
        <w:rPr>
          <w:vertAlign w:val="superscript"/>
        </w:rPr>
        <w:t>13</w:t>
      </w:r>
      <w:r w:rsidR="00D35460">
        <w:t xml:space="preserve">C </w:t>
      </w:r>
      <w:r w:rsidR="00CD181A">
        <w:t>long</w:t>
      </w:r>
      <w:r w:rsidR="00653390">
        <w:t xml:space="preserve"> </w:t>
      </w:r>
      <w:r w:rsidR="00CD181A">
        <w:t>ra</w:t>
      </w:r>
      <w:r w:rsidR="00653390">
        <w:t>n</w:t>
      </w:r>
      <w:r w:rsidR="00CD181A">
        <w:t xml:space="preserve">ge </w:t>
      </w:r>
      <w:r w:rsidR="00D35460">
        <w:t>correlation</w:t>
      </w:r>
      <w:r w:rsidR="00F6407B">
        <w:t>s</w:t>
      </w:r>
      <w:r w:rsidR="00D35460">
        <w:t xml:space="preserve"> corresponding to </w:t>
      </w:r>
      <w:r w:rsidR="00F6407B">
        <w:t>quebrachitol</w:t>
      </w:r>
      <w:r w:rsidR="00D35460">
        <w:t xml:space="preserve"> </w:t>
      </w:r>
      <w:r w:rsidR="00F6407B">
        <w:t>are</w:t>
      </w:r>
      <w:r w:rsidR="00D35460">
        <w:t xml:space="preserve"> annotated.</w:t>
      </w:r>
    </w:p>
    <w:p w14:paraId="6E4973C8" w14:textId="77777777" w:rsidR="000B0F61" w:rsidRDefault="000B0F61" w:rsidP="000B0F61">
      <w:pPr>
        <w:spacing w:before="0" w:after="200" w:line="276" w:lineRule="auto"/>
      </w:pPr>
      <w:r w:rsidRPr="004948FA">
        <w:rPr>
          <w:b/>
        </w:rPr>
        <w:t>Table S1</w:t>
      </w:r>
      <w:r>
        <w:t xml:space="preserve">. </w:t>
      </w:r>
      <w:r w:rsidRPr="00FF6E8D">
        <w:rPr>
          <w:vertAlign w:val="superscript"/>
        </w:rPr>
        <w:t>1</w:t>
      </w:r>
      <w:r>
        <w:t xml:space="preserve">H and </w:t>
      </w:r>
      <w:r w:rsidRPr="00FF6E8D">
        <w:rPr>
          <w:vertAlign w:val="superscript"/>
        </w:rPr>
        <w:t>13</w:t>
      </w:r>
      <w:r>
        <w:t>C assignments for quebrachitol.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10"/>
        <w:gridCol w:w="1510"/>
        <w:gridCol w:w="1511"/>
      </w:tblGrid>
      <w:tr w:rsidR="000B0F61" w14:paraId="4F3715C8" w14:textId="77777777" w:rsidTr="00645DA7">
        <w:trPr>
          <w:trHeight w:val="369"/>
        </w:trPr>
        <w:tc>
          <w:tcPr>
            <w:tcW w:w="1510" w:type="dxa"/>
            <w:tcBorders>
              <w:top w:val="single" w:sz="4" w:space="0" w:color="000000" w:themeColor="text1"/>
              <w:bottom w:val="single" w:sz="4" w:space="0" w:color="000000" w:themeColor="text1"/>
            </w:tcBorders>
            <w:vAlign w:val="center"/>
          </w:tcPr>
          <w:p w14:paraId="12EBBA51" w14:textId="77777777" w:rsidR="000B0F61" w:rsidRPr="00CB1194" w:rsidRDefault="000B0F61" w:rsidP="00645DA7">
            <w:pPr>
              <w:spacing w:before="0" w:after="0" w:line="276" w:lineRule="auto"/>
              <w:rPr>
                <w:b/>
              </w:rPr>
            </w:pPr>
            <w:r w:rsidRPr="00CB1194">
              <w:rPr>
                <w:b/>
              </w:rPr>
              <w:t>Position</w:t>
            </w:r>
          </w:p>
        </w:tc>
        <w:tc>
          <w:tcPr>
            <w:tcW w:w="1510" w:type="dxa"/>
            <w:tcBorders>
              <w:top w:val="single" w:sz="4" w:space="0" w:color="000000" w:themeColor="text1"/>
              <w:bottom w:val="single" w:sz="4" w:space="0" w:color="000000" w:themeColor="text1"/>
            </w:tcBorders>
            <w:vAlign w:val="center"/>
          </w:tcPr>
          <w:p w14:paraId="7857763C" w14:textId="77777777" w:rsidR="000B0F61" w:rsidRPr="00CB1194" w:rsidRDefault="000B0F61" w:rsidP="00645DA7">
            <w:pPr>
              <w:spacing w:before="0" w:after="0" w:line="276" w:lineRule="auto"/>
              <w:jc w:val="center"/>
              <w:rPr>
                <w:b/>
              </w:rPr>
            </w:pPr>
            <w:r w:rsidRPr="00CB1194">
              <w:rPr>
                <w:b/>
                <w:vertAlign w:val="superscript"/>
              </w:rPr>
              <w:t>1</w:t>
            </w:r>
            <w:r w:rsidRPr="00CB1194">
              <w:rPr>
                <w:b/>
              </w:rPr>
              <w:t>H</w:t>
            </w:r>
          </w:p>
        </w:tc>
        <w:tc>
          <w:tcPr>
            <w:tcW w:w="1511" w:type="dxa"/>
            <w:tcBorders>
              <w:top w:val="single" w:sz="4" w:space="0" w:color="000000" w:themeColor="text1"/>
              <w:bottom w:val="single" w:sz="4" w:space="0" w:color="000000" w:themeColor="text1"/>
            </w:tcBorders>
            <w:vAlign w:val="center"/>
          </w:tcPr>
          <w:p w14:paraId="4E5FE092" w14:textId="77777777" w:rsidR="000B0F61" w:rsidRPr="00CB1194" w:rsidRDefault="000B0F61" w:rsidP="00645DA7">
            <w:pPr>
              <w:spacing w:before="0" w:after="0" w:line="276" w:lineRule="auto"/>
              <w:jc w:val="center"/>
              <w:rPr>
                <w:b/>
              </w:rPr>
            </w:pPr>
            <w:r w:rsidRPr="00CB1194">
              <w:rPr>
                <w:b/>
                <w:vertAlign w:val="superscript"/>
              </w:rPr>
              <w:t>13</w:t>
            </w:r>
            <w:r w:rsidRPr="00CB1194">
              <w:rPr>
                <w:b/>
              </w:rPr>
              <w:t>C</w:t>
            </w:r>
          </w:p>
        </w:tc>
      </w:tr>
      <w:tr w:rsidR="000B0F61" w14:paraId="1A08924D" w14:textId="77777777" w:rsidTr="00645DA7">
        <w:trPr>
          <w:trHeight w:val="369"/>
        </w:trPr>
        <w:tc>
          <w:tcPr>
            <w:tcW w:w="1510" w:type="dxa"/>
            <w:tcBorders>
              <w:top w:val="single" w:sz="4" w:space="0" w:color="000000" w:themeColor="text1"/>
            </w:tcBorders>
            <w:vAlign w:val="center"/>
          </w:tcPr>
          <w:p w14:paraId="0F4B8435" w14:textId="77777777" w:rsidR="000B0F61" w:rsidRDefault="000B0F61" w:rsidP="00645DA7">
            <w:pPr>
              <w:spacing w:before="0" w:after="0" w:line="276" w:lineRule="auto"/>
            </w:pPr>
            <w:r>
              <w:t>1</w:t>
            </w:r>
          </w:p>
        </w:tc>
        <w:tc>
          <w:tcPr>
            <w:tcW w:w="1510" w:type="dxa"/>
            <w:tcBorders>
              <w:top w:val="single" w:sz="4" w:space="0" w:color="000000" w:themeColor="text1"/>
            </w:tcBorders>
            <w:vAlign w:val="center"/>
          </w:tcPr>
          <w:p w14:paraId="5F1BA3F8" w14:textId="77777777" w:rsidR="000B0F61" w:rsidRDefault="000B0F61" w:rsidP="00645DA7">
            <w:pPr>
              <w:spacing w:before="0" w:after="0" w:line="276" w:lineRule="auto"/>
              <w:jc w:val="center"/>
            </w:pPr>
            <w:r>
              <w:t>3.38</w:t>
            </w:r>
          </w:p>
        </w:tc>
        <w:tc>
          <w:tcPr>
            <w:tcW w:w="1511" w:type="dxa"/>
            <w:tcBorders>
              <w:top w:val="single" w:sz="4" w:space="0" w:color="000000" w:themeColor="text1"/>
            </w:tcBorders>
            <w:vAlign w:val="center"/>
          </w:tcPr>
          <w:p w14:paraId="426E3C35" w14:textId="77777777" w:rsidR="000B0F61" w:rsidRDefault="000B0F61" w:rsidP="00645DA7">
            <w:pPr>
              <w:spacing w:before="0" w:after="0" w:line="276" w:lineRule="auto"/>
              <w:jc w:val="center"/>
            </w:pPr>
            <w:r>
              <w:t>80.1</w:t>
            </w:r>
          </w:p>
        </w:tc>
      </w:tr>
      <w:tr w:rsidR="000B0F61" w14:paraId="5CEC79AD" w14:textId="77777777" w:rsidTr="00645DA7">
        <w:trPr>
          <w:trHeight w:val="369"/>
        </w:trPr>
        <w:tc>
          <w:tcPr>
            <w:tcW w:w="1510" w:type="dxa"/>
            <w:vAlign w:val="center"/>
          </w:tcPr>
          <w:p w14:paraId="55E14DAB" w14:textId="77777777" w:rsidR="000B0F61" w:rsidRDefault="000B0F61" w:rsidP="00645DA7">
            <w:pPr>
              <w:spacing w:before="0" w:after="0" w:line="276" w:lineRule="auto"/>
            </w:pPr>
            <w:r>
              <w:t>2</w:t>
            </w:r>
          </w:p>
        </w:tc>
        <w:tc>
          <w:tcPr>
            <w:tcW w:w="1510" w:type="dxa"/>
            <w:vAlign w:val="center"/>
          </w:tcPr>
          <w:p w14:paraId="3F6D6DB7" w14:textId="77777777" w:rsidR="000B0F61" w:rsidRDefault="000B0F61" w:rsidP="00645DA7">
            <w:pPr>
              <w:spacing w:before="0" w:after="0" w:line="276" w:lineRule="auto"/>
              <w:jc w:val="center"/>
            </w:pPr>
            <w:r>
              <w:t>4.24</w:t>
            </w:r>
          </w:p>
        </w:tc>
        <w:tc>
          <w:tcPr>
            <w:tcW w:w="1511" w:type="dxa"/>
            <w:vAlign w:val="center"/>
          </w:tcPr>
          <w:p w14:paraId="6416E217" w14:textId="77777777" w:rsidR="000B0F61" w:rsidRDefault="000B0F61" w:rsidP="00645DA7">
            <w:pPr>
              <w:spacing w:before="0" w:after="0" w:line="276" w:lineRule="auto"/>
              <w:jc w:val="center"/>
            </w:pPr>
            <w:r>
              <w:t>67.0</w:t>
            </w:r>
          </w:p>
        </w:tc>
      </w:tr>
      <w:tr w:rsidR="000B0F61" w14:paraId="650F7753" w14:textId="77777777" w:rsidTr="00645DA7">
        <w:trPr>
          <w:trHeight w:val="369"/>
        </w:trPr>
        <w:tc>
          <w:tcPr>
            <w:tcW w:w="1510" w:type="dxa"/>
            <w:vAlign w:val="center"/>
          </w:tcPr>
          <w:p w14:paraId="7704BC35" w14:textId="77777777" w:rsidR="000B0F61" w:rsidRDefault="000B0F61" w:rsidP="00645DA7">
            <w:pPr>
              <w:spacing w:before="0" w:after="0" w:line="276" w:lineRule="auto"/>
            </w:pPr>
            <w:r>
              <w:t>3</w:t>
            </w:r>
          </w:p>
        </w:tc>
        <w:tc>
          <w:tcPr>
            <w:tcW w:w="1510" w:type="dxa"/>
            <w:vAlign w:val="center"/>
          </w:tcPr>
          <w:p w14:paraId="0BB53FB5" w14:textId="77777777" w:rsidR="000B0F61" w:rsidRDefault="000B0F61" w:rsidP="00645DA7">
            <w:pPr>
              <w:spacing w:before="0" w:after="0" w:line="276" w:lineRule="auto"/>
              <w:jc w:val="center"/>
            </w:pPr>
            <w:r>
              <w:t>4.04</w:t>
            </w:r>
          </w:p>
        </w:tc>
        <w:tc>
          <w:tcPr>
            <w:tcW w:w="1511" w:type="dxa"/>
            <w:vAlign w:val="center"/>
          </w:tcPr>
          <w:p w14:paraId="4359BF5F" w14:textId="77777777" w:rsidR="000B0F61" w:rsidRDefault="000B0F61" w:rsidP="00645DA7">
            <w:pPr>
              <w:spacing w:before="0" w:after="0" w:line="276" w:lineRule="auto"/>
              <w:jc w:val="center"/>
            </w:pPr>
            <w:r>
              <w:t>71.4</w:t>
            </w:r>
          </w:p>
        </w:tc>
      </w:tr>
      <w:tr w:rsidR="000B0F61" w14:paraId="7112E035" w14:textId="77777777" w:rsidTr="00645DA7">
        <w:trPr>
          <w:trHeight w:val="369"/>
        </w:trPr>
        <w:tc>
          <w:tcPr>
            <w:tcW w:w="1510" w:type="dxa"/>
            <w:vAlign w:val="center"/>
          </w:tcPr>
          <w:p w14:paraId="1D61A6DD" w14:textId="77777777" w:rsidR="000B0F61" w:rsidRDefault="000B0F61" w:rsidP="00645DA7">
            <w:pPr>
              <w:spacing w:before="0" w:after="0" w:line="276" w:lineRule="auto"/>
            </w:pPr>
            <w:r>
              <w:t>4</w:t>
            </w:r>
          </w:p>
        </w:tc>
        <w:tc>
          <w:tcPr>
            <w:tcW w:w="1510" w:type="dxa"/>
            <w:vAlign w:val="center"/>
          </w:tcPr>
          <w:p w14:paraId="464B1B7D" w14:textId="77777777" w:rsidR="000B0F61" w:rsidRDefault="000B0F61" w:rsidP="00645DA7">
            <w:pPr>
              <w:spacing w:before="0" w:after="0" w:line="276" w:lineRule="auto"/>
              <w:jc w:val="center"/>
            </w:pPr>
            <w:r>
              <w:t>3.73</w:t>
            </w:r>
          </w:p>
        </w:tc>
        <w:tc>
          <w:tcPr>
            <w:tcW w:w="1511" w:type="dxa"/>
            <w:vAlign w:val="center"/>
          </w:tcPr>
          <w:p w14:paraId="4A6A74E2" w14:textId="77777777" w:rsidR="000B0F61" w:rsidRDefault="000B0F61" w:rsidP="00645DA7">
            <w:pPr>
              <w:spacing w:before="0" w:after="0" w:line="276" w:lineRule="auto"/>
              <w:jc w:val="center"/>
            </w:pPr>
            <w:r>
              <w:t>70.4</w:t>
            </w:r>
          </w:p>
        </w:tc>
      </w:tr>
      <w:tr w:rsidR="000B0F61" w14:paraId="7DF1133E" w14:textId="77777777" w:rsidTr="00645DA7">
        <w:trPr>
          <w:trHeight w:val="369"/>
        </w:trPr>
        <w:tc>
          <w:tcPr>
            <w:tcW w:w="1510" w:type="dxa"/>
            <w:vAlign w:val="center"/>
          </w:tcPr>
          <w:p w14:paraId="7C3056D9" w14:textId="77777777" w:rsidR="000B0F61" w:rsidRDefault="000B0F61" w:rsidP="00645DA7">
            <w:pPr>
              <w:spacing w:before="0" w:after="0" w:line="276" w:lineRule="auto"/>
            </w:pPr>
            <w:r>
              <w:t>5</w:t>
            </w:r>
          </w:p>
        </w:tc>
        <w:tc>
          <w:tcPr>
            <w:tcW w:w="1510" w:type="dxa"/>
            <w:vAlign w:val="center"/>
          </w:tcPr>
          <w:p w14:paraId="6580BDF0" w14:textId="77777777" w:rsidR="000B0F61" w:rsidRDefault="000B0F61" w:rsidP="00645DA7">
            <w:pPr>
              <w:spacing w:before="0" w:after="0" w:line="276" w:lineRule="auto"/>
              <w:jc w:val="center"/>
            </w:pPr>
            <w:r>
              <w:t>3.57</w:t>
            </w:r>
          </w:p>
        </w:tc>
        <w:tc>
          <w:tcPr>
            <w:tcW w:w="1511" w:type="dxa"/>
            <w:vAlign w:val="center"/>
          </w:tcPr>
          <w:p w14:paraId="17038AD0" w14:textId="77777777" w:rsidR="000B0F61" w:rsidRDefault="000B0F61" w:rsidP="00645DA7">
            <w:pPr>
              <w:spacing w:before="0" w:after="0" w:line="276" w:lineRule="auto"/>
              <w:jc w:val="center"/>
            </w:pPr>
            <w:r>
              <w:t>72.4</w:t>
            </w:r>
          </w:p>
        </w:tc>
      </w:tr>
      <w:tr w:rsidR="000B0F61" w14:paraId="38B4066B" w14:textId="77777777" w:rsidTr="00645DA7">
        <w:trPr>
          <w:trHeight w:val="369"/>
        </w:trPr>
        <w:tc>
          <w:tcPr>
            <w:tcW w:w="1510" w:type="dxa"/>
            <w:vAlign w:val="center"/>
          </w:tcPr>
          <w:p w14:paraId="247C2EE1" w14:textId="77777777" w:rsidR="000B0F61" w:rsidRDefault="000B0F61" w:rsidP="00645DA7">
            <w:pPr>
              <w:spacing w:before="0" w:after="0" w:line="276" w:lineRule="auto"/>
            </w:pPr>
            <w:r>
              <w:t>6</w:t>
            </w:r>
          </w:p>
        </w:tc>
        <w:tc>
          <w:tcPr>
            <w:tcW w:w="1510" w:type="dxa"/>
            <w:vAlign w:val="center"/>
          </w:tcPr>
          <w:p w14:paraId="4B1F433B" w14:textId="77777777" w:rsidR="000B0F61" w:rsidRDefault="000B0F61" w:rsidP="00645DA7">
            <w:pPr>
              <w:spacing w:before="0" w:after="0" w:line="276" w:lineRule="auto"/>
              <w:jc w:val="center"/>
            </w:pPr>
            <w:r>
              <w:t>3.59</w:t>
            </w:r>
          </w:p>
        </w:tc>
        <w:tc>
          <w:tcPr>
            <w:tcW w:w="1511" w:type="dxa"/>
            <w:vAlign w:val="center"/>
          </w:tcPr>
          <w:p w14:paraId="096311F1" w14:textId="77777777" w:rsidR="000B0F61" w:rsidRDefault="000B0F61" w:rsidP="00645DA7">
            <w:pPr>
              <w:spacing w:before="0" w:after="0" w:line="276" w:lineRule="auto"/>
              <w:jc w:val="center"/>
            </w:pPr>
            <w:r>
              <w:t>71.8</w:t>
            </w:r>
          </w:p>
        </w:tc>
      </w:tr>
      <w:tr w:rsidR="000B0F61" w14:paraId="293C9C9D" w14:textId="77777777" w:rsidTr="00645DA7">
        <w:trPr>
          <w:trHeight w:val="369"/>
        </w:trPr>
        <w:tc>
          <w:tcPr>
            <w:tcW w:w="1510" w:type="dxa"/>
            <w:tcBorders>
              <w:bottom w:val="single" w:sz="4" w:space="0" w:color="000000" w:themeColor="text1"/>
            </w:tcBorders>
            <w:vAlign w:val="center"/>
          </w:tcPr>
          <w:p w14:paraId="6D6715BA" w14:textId="77777777" w:rsidR="000B0F61" w:rsidRDefault="000B0F61" w:rsidP="00645DA7">
            <w:pPr>
              <w:spacing w:before="0" w:after="0" w:line="276" w:lineRule="auto"/>
            </w:pPr>
            <w:r>
              <w:t>C1-OMe</w:t>
            </w:r>
          </w:p>
        </w:tc>
        <w:tc>
          <w:tcPr>
            <w:tcW w:w="1510" w:type="dxa"/>
            <w:tcBorders>
              <w:bottom w:val="single" w:sz="4" w:space="0" w:color="000000" w:themeColor="text1"/>
            </w:tcBorders>
            <w:vAlign w:val="center"/>
          </w:tcPr>
          <w:p w14:paraId="26B97F20" w14:textId="77777777" w:rsidR="000B0F61" w:rsidRDefault="000B0F61" w:rsidP="00645DA7">
            <w:pPr>
              <w:spacing w:before="0" w:after="0" w:line="276" w:lineRule="auto"/>
              <w:jc w:val="center"/>
            </w:pPr>
            <w:r>
              <w:t>3.44</w:t>
            </w:r>
          </w:p>
        </w:tc>
        <w:tc>
          <w:tcPr>
            <w:tcW w:w="1511" w:type="dxa"/>
            <w:tcBorders>
              <w:bottom w:val="single" w:sz="4" w:space="0" w:color="000000" w:themeColor="text1"/>
            </w:tcBorders>
            <w:vAlign w:val="center"/>
          </w:tcPr>
          <w:p w14:paraId="354EC086" w14:textId="77777777" w:rsidR="000B0F61" w:rsidRDefault="000B0F61" w:rsidP="00645DA7">
            <w:pPr>
              <w:spacing w:before="0" w:after="0" w:line="276" w:lineRule="auto"/>
              <w:jc w:val="center"/>
            </w:pPr>
            <w:r>
              <w:t>56.8</w:t>
            </w:r>
          </w:p>
        </w:tc>
      </w:tr>
    </w:tbl>
    <w:p w14:paraId="51774845" w14:textId="0C532F47" w:rsidR="003E4E6C" w:rsidRDefault="003E4E6C">
      <w:pPr>
        <w:spacing w:before="0" w:after="200" w:line="276" w:lineRule="auto"/>
      </w:pPr>
      <w:r>
        <w:br w:type="page"/>
      </w:r>
    </w:p>
    <w:p w14:paraId="681C4F50" w14:textId="77777777" w:rsidR="003E4E6C" w:rsidRDefault="003E4E6C" w:rsidP="003E4E6C">
      <w:pPr>
        <w:spacing w:before="240"/>
        <w:rPr>
          <w:b/>
        </w:rPr>
      </w:pPr>
      <w:r>
        <w:rPr>
          <w:b/>
          <w:noProof/>
        </w:rPr>
        <w:lastRenderedPageBreak/>
        <w:drawing>
          <wp:inline distT="0" distB="0" distL="0" distR="0" wp14:anchorId="3B9CB107" wp14:editId="05401E2E">
            <wp:extent cx="6208395" cy="43872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HSQC-chemovarB-Healthy.pdf"/>
                    <pic:cNvPicPr/>
                  </pic:nvPicPr>
                  <pic:blipFill>
                    <a:blip r:embed="rId15">
                      <a:extLst>
                        <a:ext uri="{28A0092B-C50C-407E-A947-70E740481C1C}">
                          <a14:useLocalDpi xmlns:a14="http://schemas.microsoft.com/office/drawing/2010/main" val="0"/>
                        </a:ext>
                      </a:extLst>
                    </a:blip>
                    <a:stretch>
                      <a:fillRect/>
                    </a:stretch>
                  </pic:blipFill>
                  <pic:spPr>
                    <a:xfrm>
                      <a:off x="0" y="0"/>
                      <a:ext cx="6208395" cy="4387215"/>
                    </a:xfrm>
                    <a:prstGeom prst="rect">
                      <a:avLst/>
                    </a:prstGeom>
                  </pic:spPr>
                </pic:pic>
              </a:graphicData>
            </a:graphic>
          </wp:inline>
        </w:drawing>
      </w:r>
    </w:p>
    <w:p w14:paraId="33732FC3" w14:textId="31707E96" w:rsidR="003E4E6C" w:rsidRDefault="003E4E6C" w:rsidP="003E4E6C">
      <w:pPr>
        <w:spacing w:before="0" w:after="200" w:line="276" w:lineRule="auto"/>
      </w:pPr>
      <w:r w:rsidRPr="00A7417C">
        <w:rPr>
          <w:b/>
        </w:rPr>
        <w:t>Figure S8</w:t>
      </w:r>
      <w:r>
        <w:t>. HSQC spectr</w:t>
      </w:r>
      <w:r w:rsidR="00F6407B">
        <w:t>um</w:t>
      </w:r>
      <w:r>
        <w:t xml:space="preserve"> of a</w:t>
      </w:r>
      <w:r w:rsidR="00F6407B">
        <w:t xml:space="preserve"> representative </w:t>
      </w:r>
      <w:r>
        <w:t xml:space="preserve">aqueous extract from chemovar A </w:t>
      </w:r>
      <w:r w:rsidR="00F33A68">
        <w:t>inflorescences</w:t>
      </w:r>
      <w:r>
        <w:t xml:space="preserve">. The </w:t>
      </w:r>
      <w:r w:rsidRPr="00253E22">
        <w:rPr>
          <w:vertAlign w:val="superscript"/>
        </w:rPr>
        <w:t>1</w:t>
      </w:r>
      <w:r>
        <w:t>H-</w:t>
      </w:r>
      <w:r w:rsidRPr="00253E22">
        <w:rPr>
          <w:vertAlign w:val="superscript"/>
        </w:rPr>
        <w:t>13</w:t>
      </w:r>
      <w:r>
        <w:t>C correlation corresponding to the methyl groups in choline is annotated.</w:t>
      </w:r>
    </w:p>
    <w:p w14:paraId="37DC9A48" w14:textId="77777777" w:rsidR="003E4E6C" w:rsidRDefault="003E4E6C">
      <w:pPr>
        <w:spacing w:before="0" w:after="200" w:line="276" w:lineRule="auto"/>
      </w:pPr>
      <w:r>
        <w:br w:type="page"/>
      </w:r>
    </w:p>
    <w:p w14:paraId="6915E704" w14:textId="77777777" w:rsidR="00A7417C" w:rsidRDefault="00A7417C" w:rsidP="00A7417C">
      <w:pPr>
        <w:pStyle w:val="NoSpacing"/>
        <w:keepNext/>
      </w:pPr>
      <w:r>
        <w:rPr>
          <w:noProof/>
        </w:rPr>
        <w:lastRenderedPageBreak/>
        <w:drawing>
          <wp:inline distT="0" distB="0" distL="0" distR="0" wp14:anchorId="79A9BCCA" wp14:editId="7FBC794E">
            <wp:extent cx="6208395" cy="5495925"/>
            <wp:effectExtent l="0" t="0" r="1905"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208395" cy="5495925"/>
                    </a:xfrm>
                    <a:prstGeom prst="rect">
                      <a:avLst/>
                    </a:prstGeom>
                  </pic:spPr>
                </pic:pic>
              </a:graphicData>
            </a:graphic>
          </wp:inline>
        </w:drawing>
      </w:r>
    </w:p>
    <w:p w14:paraId="2DB08093" w14:textId="0904F09D" w:rsidR="00A7417C" w:rsidRDefault="00A7417C" w:rsidP="00A7417C">
      <w:pPr>
        <w:spacing w:before="0" w:after="200" w:line="276" w:lineRule="auto"/>
      </w:pPr>
      <w:r w:rsidRPr="00A7417C">
        <w:rPr>
          <w:b/>
        </w:rPr>
        <w:t xml:space="preserve">Figure </w:t>
      </w:r>
      <w:r w:rsidR="001177DA">
        <w:rPr>
          <w:b/>
        </w:rPr>
        <w:t>S9</w:t>
      </w:r>
      <w:r w:rsidRPr="00A7417C">
        <w:rPr>
          <w:bCs/>
        </w:rPr>
        <w:t>. P</w:t>
      </w:r>
      <w:r w:rsidRPr="00FD6808">
        <w:t xml:space="preserve">ermutation test plots for the OPLS-DA model comparing the </w:t>
      </w:r>
      <w:r>
        <w:t>aqueous extracts of chemovars A</w:t>
      </w:r>
      <w:r w:rsidRPr="00FD6808">
        <w:t xml:space="preserve"> and</w:t>
      </w:r>
      <w:r>
        <w:t xml:space="preserve"> B</w:t>
      </w:r>
      <w:r w:rsidRPr="00FD6808">
        <w:t xml:space="preserve"> (R</w:t>
      </w:r>
      <w:r w:rsidRPr="00A7417C">
        <w:rPr>
          <w:vertAlign w:val="superscript"/>
        </w:rPr>
        <w:t>2</w:t>
      </w:r>
      <w:r w:rsidRPr="00FD6808">
        <w:t xml:space="preserve">Y = </w:t>
      </w:r>
      <w:r w:rsidR="00A10093">
        <w:t>0.91</w:t>
      </w:r>
      <w:r w:rsidRPr="00FD6808">
        <w:t xml:space="preserve"> and Q</w:t>
      </w:r>
      <w:r w:rsidRPr="00A7417C">
        <w:rPr>
          <w:vertAlign w:val="superscript"/>
        </w:rPr>
        <w:t>2</w:t>
      </w:r>
      <w:r w:rsidRPr="00FD6808">
        <w:t xml:space="preserve">Y = </w:t>
      </w:r>
      <w:r w:rsidR="00A10093">
        <w:t>0.83</w:t>
      </w:r>
      <w:r w:rsidRPr="00FD6808">
        <w:t>).</w:t>
      </w:r>
    </w:p>
    <w:p w14:paraId="05FF8B49" w14:textId="77777777" w:rsidR="00A7417C" w:rsidRDefault="00A7417C" w:rsidP="00A7417C">
      <w:pPr>
        <w:spacing w:before="0" w:after="200" w:line="276" w:lineRule="auto"/>
      </w:pPr>
    </w:p>
    <w:p w14:paraId="72CD9279" w14:textId="77777777" w:rsidR="00A7417C" w:rsidRDefault="00A7417C" w:rsidP="00A7417C">
      <w:pPr>
        <w:pStyle w:val="NoSpacing"/>
        <w:keepNext/>
      </w:pPr>
      <w:r>
        <w:rPr>
          <w:noProof/>
        </w:rPr>
        <w:lastRenderedPageBreak/>
        <w:drawing>
          <wp:inline distT="0" distB="0" distL="0" distR="0" wp14:anchorId="67A914C8" wp14:editId="5C8F2ACD">
            <wp:extent cx="6208395" cy="4036060"/>
            <wp:effectExtent l="0" t="0" r="1905" b="2540"/>
            <wp:docPr id="5" name="Pictur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08395" cy="4036060"/>
                    </a:xfrm>
                    <a:prstGeom prst="rect">
                      <a:avLst/>
                    </a:prstGeom>
                  </pic:spPr>
                </pic:pic>
              </a:graphicData>
            </a:graphic>
          </wp:inline>
        </w:drawing>
      </w:r>
    </w:p>
    <w:p w14:paraId="261411F6" w14:textId="097CFAC8" w:rsidR="00A7417C" w:rsidRDefault="00A7417C" w:rsidP="00A7417C">
      <w:pPr>
        <w:spacing w:before="0" w:after="200" w:line="276" w:lineRule="auto"/>
      </w:pPr>
      <w:r w:rsidRPr="00A7417C">
        <w:rPr>
          <w:b/>
        </w:rPr>
        <w:t xml:space="preserve">Figure </w:t>
      </w:r>
      <w:r w:rsidR="001177DA">
        <w:rPr>
          <w:b/>
        </w:rPr>
        <w:t>S10</w:t>
      </w:r>
      <w:r>
        <w:t xml:space="preserve">. </w:t>
      </w:r>
      <w:r w:rsidRPr="00FD6808">
        <w:t xml:space="preserve">ROC analysis curves derived from the OPLS-DA model comparing the </w:t>
      </w:r>
      <w:r>
        <w:t>aqueous extracts of chemovars A</w:t>
      </w:r>
      <w:r w:rsidRPr="00FD6808">
        <w:t xml:space="preserve"> and</w:t>
      </w:r>
      <w:r>
        <w:t xml:space="preserve"> B</w:t>
      </w:r>
      <w:r w:rsidRPr="00FD6808">
        <w:t xml:space="preserve"> (AUC = </w:t>
      </w:r>
      <w:r>
        <w:t>0</w:t>
      </w:r>
      <w:r w:rsidRPr="00FD6808">
        <w:t>.</w:t>
      </w:r>
      <w:r>
        <w:t>98</w:t>
      </w:r>
      <w:r w:rsidRPr="00FD6808">
        <w:t>).</w:t>
      </w:r>
    </w:p>
    <w:p w14:paraId="6169992D" w14:textId="77777777" w:rsidR="00AC70C6" w:rsidRDefault="00AC70C6">
      <w:pPr>
        <w:spacing w:before="0" w:after="200" w:line="276" w:lineRule="auto"/>
      </w:pPr>
      <w:r>
        <w:br w:type="page"/>
      </w:r>
    </w:p>
    <w:p w14:paraId="60B6C9CC" w14:textId="77777777" w:rsidR="00C420AA" w:rsidRDefault="00021365" w:rsidP="00A7417C">
      <w:pPr>
        <w:spacing w:before="0" w:after="200" w:line="276" w:lineRule="auto"/>
        <w:rPr>
          <w:b/>
        </w:rPr>
      </w:pPr>
      <w:r w:rsidRPr="00021365">
        <w:rPr>
          <w:b/>
          <w:noProof/>
        </w:rPr>
        <w:lastRenderedPageBreak/>
        <w:drawing>
          <wp:inline distT="0" distB="0" distL="0" distR="0" wp14:anchorId="08DCC06D" wp14:editId="2F9CAC17">
            <wp:extent cx="6208395" cy="2181860"/>
            <wp:effectExtent l="0" t="0" r="1905"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08395" cy="2181860"/>
                    </a:xfrm>
                    <a:prstGeom prst="rect">
                      <a:avLst/>
                    </a:prstGeom>
                  </pic:spPr>
                </pic:pic>
              </a:graphicData>
            </a:graphic>
          </wp:inline>
        </w:drawing>
      </w:r>
    </w:p>
    <w:p w14:paraId="2AAF016D" w14:textId="6B07C23A" w:rsidR="00AC70C6" w:rsidRDefault="0064753A" w:rsidP="00A7417C">
      <w:pPr>
        <w:spacing w:before="0" w:after="200" w:line="276" w:lineRule="auto"/>
      </w:pPr>
      <w:r>
        <w:rPr>
          <w:b/>
        </w:rPr>
        <w:softHyphen/>
      </w:r>
      <w:r>
        <w:rPr>
          <w:b/>
        </w:rPr>
        <w:softHyphen/>
      </w:r>
      <w:r w:rsidR="00AC70C6" w:rsidRPr="00AC70C6">
        <w:rPr>
          <w:b/>
        </w:rPr>
        <w:t xml:space="preserve">Figure </w:t>
      </w:r>
      <w:r w:rsidR="001177DA">
        <w:rPr>
          <w:b/>
        </w:rPr>
        <w:t>S11</w:t>
      </w:r>
      <w:r w:rsidR="00AC70C6">
        <w:t xml:space="preserve">. </w:t>
      </w:r>
      <w:r w:rsidR="00021365" w:rsidRPr="00021365">
        <w:t xml:space="preserve">Healthy </w:t>
      </w:r>
      <w:r w:rsidR="00021365">
        <w:t xml:space="preserve">(a) and infected (b) </w:t>
      </w:r>
      <w:r w:rsidR="00021365" w:rsidRPr="00021365">
        <w:rPr>
          <w:i/>
        </w:rPr>
        <w:t>C. sativa</w:t>
      </w:r>
      <w:r w:rsidR="00021365" w:rsidRPr="00021365">
        <w:t xml:space="preserve"> lea</w:t>
      </w:r>
      <w:r w:rsidR="00021365">
        <w:t xml:space="preserve">ves. </w:t>
      </w:r>
      <w:r w:rsidR="00300534">
        <w:t>Magnification of the affected area clearly shows</w:t>
      </w:r>
      <w:r w:rsidR="00021365" w:rsidRPr="00021365">
        <w:t xml:space="preserve"> </w:t>
      </w:r>
      <w:r w:rsidR="00300534">
        <w:t xml:space="preserve">powdery mildew as </w:t>
      </w:r>
      <w:r w:rsidR="00021365" w:rsidRPr="00021365">
        <w:t>white colonies on the upper surface of leaves</w:t>
      </w:r>
      <w:r w:rsidR="00300534">
        <w:t xml:space="preserve"> (</w:t>
      </w:r>
      <w:r w:rsidR="00021365" w:rsidRPr="00021365">
        <w:t>c)</w:t>
      </w:r>
      <w:r w:rsidR="00300534">
        <w:t>. T</w:t>
      </w:r>
      <w:r w:rsidR="00021365" w:rsidRPr="00021365">
        <w:t xml:space="preserve">he mycelium of the pathogenic fungus is </w:t>
      </w:r>
      <w:proofErr w:type="spellStart"/>
      <w:r w:rsidR="00021365" w:rsidRPr="00021365">
        <w:t>amphigenous</w:t>
      </w:r>
      <w:proofErr w:type="spellEnd"/>
      <w:r w:rsidR="00021365" w:rsidRPr="00021365">
        <w:t xml:space="preserve">, thin, </w:t>
      </w:r>
      <w:r w:rsidR="00021365">
        <w:t xml:space="preserve">and </w:t>
      </w:r>
      <w:r w:rsidR="00021365" w:rsidRPr="00021365">
        <w:t xml:space="preserve">white, forms small to moderately large patches, is persistent on the upper surface of the leaf, </w:t>
      </w:r>
      <w:r w:rsidR="00021365">
        <w:t xml:space="preserve">and is </w:t>
      </w:r>
      <w:r w:rsidR="00021365" w:rsidRPr="00021365">
        <w:t xml:space="preserve">less conspicuous and often evanescent on the lower surface. These characteristics are consistent with what was described for the genus </w:t>
      </w:r>
      <w:proofErr w:type="spellStart"/>
      <w:r w:rsidR="00021365" w:rsidRPr="00021365">
        <w:rPr>
          <w:i/>
        </w:rPr>
        <w:t>Golovinomyces</w:t>
      </w:r>
      <w:proofErr w:type="spellEnd"/>
      <w:r w:rsidR="00021365" w:rsidRPr="00021365">
        <w:t xml:space="preserve"> </w:t>
      </w:r>
      <w:r w:rsidR="005E1A57">
        <w:t xml:space="preserve"> </w:t>
      </w:r>
      <w:r w:rsidR="005E1A57">
        <w:fldChar w:fldCharType="begin"/>
      </w:r>
      <w:r w:rsidR="005E1A57">
        <w:instrText xml:space="preserve"> ADDIN ZOTERO_ITEM CSL_CITATION {"citationID":"tbj5Qy9m","properties":{"formattedCitation":"(Brochu et al., 2022; Punja et al., 2019; Szarka et al., 2019)","plainCitation":"(Brochu et al., 2022; Punja et al., 2019; Szarka et al., 2019)","noteIndex":0},"citationItems":[{"id":892,"uris":["http://zotero.org/users/local/5WSuWkis/items/H9ZB3CMZ"],"itemData":{"id":892,"type":"article-journal","container-title":"Plant Disease","DOI":"10.1094/PDIS-02-22-0350-PDN","ISSN":"0191-2917, 1943-7692","issue":"10","journalAbbreviation":"Plant Disease","language":"en","page":"2747","source":"DOI.org (Crossref)","title":"First Report of Powdery Mildew Caused by &lt;i&gt;Golovinomyces ambrosiae&lt;/i&gt; on &lt;i&gt;Cannabis sativa&lt;/i&gt; (Marijuana) in Quebec, Canada","volume":"106","author":[{"family":"Brochu","given":"Anne-Sophie"},{"family":"Labbé","given":"Caroline"},{"family":"Bélanger","given":"Richard"},{"family":"Pérez-López","given":"Edel"}],"issued":{"date-parts":[["2022",10,1]]}}},{"id":769,"uris":["http://zotero.org/users/local/5WSuWkis/items/5555P3GH"],"itemData":{"id":769,"type":"article-journal","abstract":"Plant pathogens infecting marijuana (Cannabis sativa L.) plants reduce growth of the crop by affecting the roots, crown, and foliage. In addition, fungi (molds) that colonize the inflorescences (buds) during development or after harvest, and which colonize internal tissues as endophytes, can reduce product quality. The pathogens and molds that affect C. sativa grown hydroponically indoors (in environmentally controlled growth rooms and greenhouses) and field-grown plants were studied over multiple years of sampling. A PCR-based assay using primers for the internal transcribed spacer region (ITS) of ribosomal DNA confirmed identity of the cultures. Root-infecting pathogens included Fusarium oxysporum, Fusarium solani, Fusarium brachygibbosum, Pythium dissotocum, Pythium myriotylum, and Pythium aphanidermatum, which caused root browning, discoloration of the crown and pith tissues, stunting and yellowing of plants, and in some instances, plant death. On the foliage, powdery mildew, caused by Golovinomyces cichoracearum, was the major pathogen observed. On inflorescences, Penicillium bud rot (caused by Penicillium olsonii and Penicillium copticola), Botrytis bud rot (Botrytis cinerea), and Fusarium bud rot (F. solani, F. oxysporum) were present to varying extents. Endophytic fungi present in crown, stem, and petiole tissues included soil-colonizing and cellulolytic fungi, such as species of Chaetomium, Trametes, Trichoderma, Penicillium, and Fusarium. Analysis of air samples in indoor growing environments revealed that species of Penicillium, Cladosporium, Aspergillus, Fusarium, Beauveria, and Trichoderma were present. The latter two species were the result of the application of biocontrol products for control of insects and diseases, respectively. Fungal communities present in unpasteurized coconut (coco) fiber growing medium are potential sources of mold contamination on cannabis plants. Swabs taken from greenhouse-grown and indoor buds pre- and post-harvest revealed the presence of Cladosporium and up to five species of Penicillium, as well as low levels of Alternaria species. Mechanical trimming of buds caused an increase in the frequency of Penicillium species, presumably by providing entry points through wounds or spreading endophytes from pith tissues. Aerial distribution of pathogen inoculum and mold spores and dissemination through vegetative propagation are important methods of spread, and entry through wound sites on roots, stems, and bud tissues facilitates pathogen establishment on cannabis plants.","container-title":"Frontiers in Plant Science","ISSN":"1664-462X","source":"Frontiers","title":"Pathogens and Molds Affecting Production and Quality of Cannabis sativa L.","URL":"https://www.frontiersin.org/articles/10.3389/fpls.2019.01120","volume":"10","author":[{"family":"Punja","given":"Zamir K."},{"family":"Collyer","given":"Danielle"},{"family":"Scott","given":"Cameron"},{"family":"Lung","given":"Samantha"},{"family":"Holmes","given":"Janesse"},{"family":"Sutton","given":"Darren"}],"accessed":{"date-parts":[["2022",8,19]]},"issued":{"date-parts":[["2019"]]}}},{"id":894,"uris":["http://zotero.org/users/local/5WSuWkis/items/TSZYTJXK"],"itemData":{"id":894,"type":"article-journal","container-title":"Plant Disease","DOI":"10.1094/PDIS-01-19-0049-PDN","ISSN":"0191-2917, 1943-7692","issue":"7","journalAbbreviation":"Plant Disease","language":"en","page":"1773-1773","source":"DOI.org (Crossref)","title":"First Report of Powdery Mildew Caused by &lt;i&gt;Golovinomyces spadiceus&lt;/i&gt; on Industrial Hemp ( &lt;i&gt;Cannabis sativa&lt;/i&gt; ) in Kentucky","volume":"103","author":[{"family":"Szarka","given":"D."},{"family":"Tymon","given":"L."},{"family":"Amsden","given":"B."},{"family":"Dixon","given":"E."},{"family":"Judy","given":"J."},{"family":"Gauthier","given":"N."}],"issued":{"date-parts":[["2019",7]]}}}],"schema":"https://github.com/citation-style-language/schema/raw/master/csl-citation.json"} </w:instrText>
      </w:r>
      <w:r w:rsidR="005E1A57">
        <w:fldChar w:fldCharType="separate"/>
      </w:r>
      <w:r w:rsidR="005E1A57">
        <w:rPr>
          <w:noProof/>
        </w:rPr>
        <w:t>(Brochu et al., 2022; Punja et al., 2019; Szarka et al., 2019)</w:t>
      </w:r>
      <w:r w:rsidR="005E1A57">
        <w:fldChar w:fldCharType="end"/>
      </w:r>
      <w:r w:rsidR="00021365" w:rsidRPr="00021365">
        <w:t>.</w:t>
      </w:r>
    </w:p>
    <w:p w14:paraId="3DBA0EAC" w14:textId="77777777" w:rsidR="00AC70C6" w:rsidRDefault="00AC70C6">
      <w:pPr>
        <w:spacing w:before="0" w:after="200" w:line="276" w:lineRule="auto"/>
      </w:pPr>
      <w:r>
        <w:br w:type="page"/>
      </w:r>
    </w:p>
    <w:p w14:paraId="5BE4A16E" w14:textId="77777777" w:rsidR="00C420AA" w:rsidRDefault="00300534" w:rsidP="00A7417C">
      <w:pPr>
        <w:spacing w:before="0" w:after="200" w:line="276" w:lineRule="auto"/>
        <w:rPr>
          <w:b/>
        </w:rPr>
      </w:pPr>
      <w:r w:rsidRPr="00300534">
        <w:rPr>
          <w:b/>
          <w:noProof/>
        </w:rPr>
        <w:lastRenderedPageBreak/>
        <w:drawing>
          <wp:inline distT="0" distB="0" distL="0" distR="0" wp14:anchorId="048BA880" wp14:editId="292614E5">
            <wp:extent cx="6208395" cy="3713480"/>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208395" cy="3713480"/>
                    </a:xfrm>
                    <a:prstGeom prst="rect">
                      <a:avLst/>
                    </a:prstGeom>
                  </pic:spPr>
                </pic:pic>
              </a:graphicData>
            </a:graphic>
          </wp:inline>
        </w:drawing>
      </w:r>
    </w:p>
    <w:p w14:paraId="041C94A0" w14:textId="26996757" w:rsidR="00AC70C6" w:rsidRDefault="00AC70C6" w:rsidP="00A7417C">
      <w:pPr>
        <w:spacing w:before="0" w:after="200" w:line="276" w:lineRule="auto"/>
      </w:pPr>
      <w:r w:rsidRPr="00AC70C6">
        <w:rPr>
          <w:b/>
        </w:rPr>
        <w:t>Figure S1</w:t>
      </w:r>
      <w:r w:rsidR="001177DA">
        <w:rPr>
          <w:b/>
        </w:rPr>
        <w:t>2</w:t>
      </w:r>
      <w:r>
        <w:t xml:space="preserve">. </w:t>
      </w:r>
      <w:r w:rsidRPr="00AC70C6">
        <w:t>Microscopic images of the powdery mildew pathogen on leaf surfaces of cannabis plants</w:t>
      </w:r>
      <w:r>
        <w:t>, showing h</w:t>
      </w:r>
      <w:r w:rsidRPr="00AC70C6">
        <w:t xml:space="preserve">yphae and hyphal papillate appressorium </w:t>
      </w:r>
      <w:r>
        <w:t>(</w:t>
      </w:r>
      <w:r w:rsidRPr="00AC70C6">
        <w:t>marked with arrows</w:t>
      </w:r>
      <w:r>
        <w:t xml:space="preserve">, a), </w:t>
      </w:r>
      <w:r w:rsidRPr="00AC70C6">
        <w:t>conidiophore with foot cell</w:t>
      </w:r>
      <w:r>
        <w:t xml:space="preserve"> (</w:t>
      </w:r>
      <w:r w:rsidRPr="00AC70C6">
        <w:t>b)</w:t>
      </w:r>
      <w:r>
        <w:t>,</w:t>
      </w:r>
      <w:r w:rsidRPr="00AC70C6">
        <w:t xml:space="preserve"> conidia in chains</w:t>
      </w:r>
      <w:r>
        <w:t xml:space="preserve"> (</w:t>
      </w:r>
      <w:r w:rsidRPr="00AC70C6">
        <w:t>c)</w:t>
      </w:r>
      <w:r>
        <w:t xml:space="preserve">, </w:t>
      </w:r>
      <w:r w:rsidRPr="00AC70C6">
        <w:t xml:space="preserve">conidia with oil-like drops </w:t>
      </w:r>
      <w:r>
        <w:t>(</w:t>
      </w:r>
      <w:r w:rsidRPr="00AC70C6">
        <w:t>marke</w:t>
      </w:r>
      <w:r>
        <w:t>d</w:t>
      </w:r>
      <w:r w:rsidRPr="00AC70C6">
        <w:t xml:space="preserve"> with arrow</w:t>
      </w:r>
      <w:r>
        <w:t xml:space="preserve">s, </w:t>
      </w:r>
      <w:r w:rsidRPr="00AC70C6">
        <w:t>d</w:t>
      </w:r>
      <w:r>
        <w:t>), and c</w:t>
      </w:r>
      <w:r w:rsidRPr="00AC70C6">
        <w:t xml:space="preserve">onidial germination with germ tubes ending in swollen appressoria </w:t>
      </w:r>
      <w:r>
        <w:t>(</w:t>
      </w:r>
      <w:r w:rsidRPr="00AC70C6">
        <w:t>marke</w:t>
      </w:r>
      <w:r>
        <w:t>d</w:t>
      </w:r>
      <w:r w:rsidRPr="00AC70C6">
        <w:t xml:space="preserve"> with arrow</w:t>
      </w:r>
      <w:r>
        <w:t>s, e)</w:t>
      </w:r>
      <w:r w:rsidRPr="00AC70C6">
        <w:t xml:space="preserve">. Hyphae were septate, thin-walled, smooth and hyaline, with the presence of hyphal appressoria papillate-shaped. Conidiophores were long with foot cells and the basal conidium forming spores in chains that is a characteristic of the genus </w:t>
      </w:r>
      <w:proofErr w:type="spellStart"/>
      <w:r w:rsidRPr="00AC70C6">
        <w:rPr>
          <w:i/>
        </w:rPr>
        <w:t>Golovinomyces</w:t>
      </w:r>
      <w:proofErr w:type="spellEnd"/>
      <w:r w:rsidRPr="00AC70C6">
        <w:t xml:space="preserve"> </w:t>
      </w:r>
      <w:r w:rsidR="008542DF">
        <w:fldChar w:fldCharType="begin"/>
      </w:r>
      <w:r w:rsidR="005E1A57">
        <w:instrText xml:space="preserve"> ADDIN ZOTERO_ITEM CSL_CITATION {"citationID":"9TD5rJ1x","properties":{"formattedCitation":"(P\\uc0\\u233{}pin et al., 2018)","plainCitation":"(Pépin et al., 2018)","noteIndex":0},"citationItems":[{"id":895,"uris":["http://zotero.org/users/local/5WSuWkis/items/UNFZBTDD"],"itemData":{"id":895,"type":"article-journal","container-title":"Plant Disease","DOI":"10.1094/PDIS-04-18-0586-PDN","ISSN":"0191-2917, 1943-7692","issue":"12","journalAbbreviation":"Plant Disease","language":"en","page":"2644-2644","source":"DOI.org (Crossref)","title":"Occurrence of Powdery Mildew Caused by &lt;i&gt;Golovinomyces cichoracearum sensu lato&lt;/i&gt; on &lt;i&gt;Cannabis sativa&lt;/i&gt; in Canada","volume":"102","author":[{"family":"Pépin","given":"N."},{"family":"Punja","given":"Z. K."},{"family":"Joly","given":"D. L."}],"issued":{"date-parts":[["2018",12]]}}}],"schema":"https://github.com/citation-style-language/schema/raw/master/csl-citation.json"} </w:instrText>
      </w:r>
      <w:r w:rsidR="008542DF">
        <w:fldChar w:fldCharType="separate"/>
      </w:r>
      <w:r w:rsidR="005E1A57" w:rsidRPr="005E1A57">
        <w:rPr>
          <w:rFonts w:cs="Times New Roman"/>
        </w:rPr>
        <w:t>(Pépin et al., 2018)</w:t>
      </w:r>
      <w:r w:rsidR="008542DF">
        <w:fldChar w:fldCharType="end"/>
      </w:r>
      <w:r w:rsidR="005E1A57">
        <w:t>.</w:t>
      </w:r>
      <w:r w:rsidRPr="00AC70C6">
        <w:t xml:space="preserve"> Oil-like drops were present within conidia although no distinct </w:t>
      </w:r>
      <w:proofErr w:type="spellStart"/>
      <w:r w:rsidRPr="00AC70C6">
        <w:t>fribosin</w:t>
      </w:r>
      <w:proofErr w:type="spellEnd"/>
      <w:r w:rsidRPr="00AC70C6">
        <w:t xml:space="preserve"> bodies were observed. Conidial germination was apical to sub-apical, with germ tubes ending in swollen appressoria. </w:t>
      </w:r>
      <w:proofErr w:type="spellStart"/>
      <w:r w:rsidRPr="00AC70C6">
        <w:t>Chasmothecia</w:t>
      </w:r>
      <w:proofErr w:type="spellEnd"/>
      <w:r w:rsidRPr="00AC70C6">
        <w:t xml:space="preserve"> were not seen. These microscopic characteristics agree with that described for the genus </w:t>
      </w:r>
      <w:proofErr w:type="spellStart"/>
      <w:r w:rsidRPr="00AC70C6">
        <w:rPr>
          <w:i/>
        </w:rPr>
        <w:t>Golovinomyces</w:t>
      </w:r>
      <w:proofErr w:type="spellEnd"/>
      <w:r w:rsidRPr="00AC70C6">
        <w:t xml:space="preserve"> </w:t>
      </w:r>
      <w:r w:rsidR="005E1A57">
        <w:fldChar w:fldCharType="begin"/>
      </w:r>
      <w:r w:rsidR="005E1A57">
        <w:instrText xml:space="preserve"> ADDIN ZOTERO_ITEM CSL_CITATION {"citationID":"rrBULE9Q","properties":{"formattedCitation":"(Qiu et al., 2020; Rajmohan et al., 2022; Weldon et al., 2020)","plainCitation":"(Qiu et al., 2020; Rajmohan et al., 2022; Weldon et al., 2020)","noteIndex":0},"citationItems":[{"id":900,"uris":["http://zotero.org/users/local/5WSuWkis/items/4USUDMFC"],"itemData":{"id":900,"type":"article-journal","abstract":"Abstract\n            \n              Background\n              \n                Previous phylogenetic analyses of species within the genus\n                Golovinomyces\n                (Ascomycota\n                ,\n                Erysiphales), based on ITS and 28S rDNA sequence data, revealed a co-evolutionary relationship between powdery mildew species and hosts of certain tribes of the plant family Asteraceae.\n                Golovinomyces\n                growing on host plants belonging to the\n                Heliantheae\n                formed a single lineage, comprised of a morphologically differentiated complex of species, which included\n                G. ambrosiae\n                ,\n                G. circumfusus\n                , and\n                G. spadiceus\n                . However, the lineage also encompassed sequences retrieved from\n                Golovinomyces\n                specimens on other Asteraceae tribes as well as other plant families, suggesting the involvement of a plurivorous species. A multilocus phylogenetic examination of this complex, using ITS, 28S, IGS (intergenic spacer),\n                TUB2\n                (beta-tubulin), and\n                CHS1\n                (chitin synthase I) sequence data was carried out to clarify the discrepancies between ITS and 28S rDNA sequence data and morphological differences. Furthermore, the circumscription of species and their host ranges were emended.\n              \n            \n            \n              Results\n              \n                The phylogenetic and morphological analyses conducted in this study revealed three distinct species named, viz., (1)\n                G. ambrosiae\n                emend. (including\n                G. spadiceus\n                ), a plurivorous species that occurs on a multitude of hosts including,\n                Ambrosia\n                spp., multiple species of the\n                Heliantheae\n                and plant species of other tribes of Asteraceae including the Asian species of\n                Eupatorium\n                ; (2)\n                G. latisporus\n                comb. nov. (≡\n                Oidium latisporum\n                ), the closely related, but morphologically distinct species confined to hosts of the\n                Heliantheae\n                genera\n                Helianthus\n                ,\n                Zinnia\n                , and most likely\n                Rudbeckia\n                ; and (3)\n                G. circumfusus\n                confined to\n                Eupatorium cannabinum\n                in Europe.\n              \n            \n            \n              Conclusions\n              \n                The present results provide strong evidence that the combination of multi-locus phylogeny and morphological analysis is an effective way to identify species in the genus\n                Golovinomyces\n                .","container-title":"BMC Microbiology","DOI":"10.1186/s12866-020-01731-9","ISSN":"1471-2180","issue":"1","journalAbbreviation":"BMC Microbiol","language":"en","page":"51","source":"DOI.org (Crossref)","title":"Multi-locus phylogeny and taxonomy of an unresolved, heterogeneous species complex within the genus Golovinomyces (Ascomycota, Erysiphales), including G. ambrosiae, G. circumfusus and G. spadiceus","volume":"20","author":[{"family":"Qiu","given":"Peng-Lei"},{"family":"Liu","given":"Shu-Yan"},{"family":"Bradshaw","given":"Michael"},{"family":"Rooney-Latham","given":"Suzanne"},{"family":"Takamatsu","given":"Susumu"},{"family":"Bulgakov","given":"Timur S."},{"family":"Tang","given":"Shu-Rong"},{"family":"Feng","given":"Jing"},{"family":"Jin","given":"Dan-Ni"},{"family":"Aroge","given":"Temitope"},{"family":"Li","given":"Yu"},{"family":"Wang","given":"Li-Lan"},{"family":"Braun","given":"Uwe"}],"issued":{"date-parts":[["2020",12]]}}},{"id":902,"uris":["http://zotero.org/users/local/5WSuWkis/items/5IUKU836"],"itemData":{"id":902,"type":"article-journal","container-title":"Plant Disease","DOI":"10.1094/PDIS-12-21-2657-PDN","ISSN":"0191-2917, 1943-7692","issue":"9","journalAbbreviation":"Plant Disease","language":"en","page":"2534","source":"DOI.org (Crossref)","title":"First Report of Powdery Mildew Caused by &lt;i&gt;Golovinomyces ambrosiae&lt;/i&gt; on Industrial Hemp in New Jersey","volume":"106","author":[{"family":"Rajmohan","given":"Nimmi"},{"family":"Price","given":"Dana C."},{"family":"Buckley","given":"Richard J."},{"family":"Komar","given":"Stephen J."},{"family":"Bamka","given":"William J."},{"family":"Petit","given":"Eric A."},{"family":"Cabrera","given":"Raul I."},{"family":"Gianfagna","given":"Thomas J."},{"family":"Simon","given":"James E."},{"family":"Wyenandt","given":"Christian A."}],"issued":{"date-parts":[["2022",9,1]]}}},{"id":899,"uris":["http://zotero.org/users/local/5WSuWkis/items/ZGPTZWS2"],"itemData":{"id":899,"type":"article-journal","abstract":"In the recent decade, agricultural production of both hemp (Cannabis sativa) and hop (Humulus lupulus) has expanded throughout the Pacific Northwest, Midwest, and Eastern United States to support the growing industries for which these plants are key components. The significant and rapidly expanding overlap of production regions of these two Cannabaceae plant family members creates a potential dispersal route for organisms that are pathogenic to both hosts. Powdery mildew is a disease of high economic impact in both hemp and hop production systems, yet it was largely unknown whether the powdery mildew fungi commonly associated with hemp could also be pathogenic on hop, and vice versa. We isolated Golovinomyces spadiceus growing upon hemp in New York production greenhouses and Podosphaera macularis from feral hop (H. japonicus) plantings also in New York. Herein, we report the pathogenicity of P. macularis associated with hop to C. sativa cultivars ‘Anka’ and ‘Wild Horse’ and pathogenicity of G. spadiceus toward hop. The potential for P. macularis to establish, produce viable, infectious conidia, and undergo sexual recombination on hemp could complicate efforts to exclude the MAT1-2 mating type of P. macularis from western North America and could facilitate the spread of races pathogenic toward ‘Cascade’ hop, and hop cultivars with R6-based resistance to P. macularis, including ‘Nugget’. Further assessment of the pathogenicity of diverse P. macularis isolates, in both geographic origin and the range of hop species, is necessary to better understand the dispersal risk of P. macularis on hemp.","container-title":"Plant Health Progress","DOI":"10.1094/PHP-09-19-0067-RS","ISSN":"1535-1025","issue":"1","journalAbbreviation":"Plant Health Progress","language":"en","page":"47-53","source":"DOI.org (Crossref)","title":"Cross-Infectivity of Powdery Mildew Isolates Originating from Hemp ( &lt;i&gt;Cannabis sativa&lt;/i&gt; ) and Japanese Hop ( &lt;i&gt;Humulus japonicus&lt;/i&gt; ) in New York","volume":"21","author":[{"family":"Weldon","given":"William A."},{"family":"Ullrich","given":"Maire R."},{"family":"Smart","given":"Lawrence B."},{"family":"Smart","given":"Christine D."},{"family":"Gadoury","given":"David M."}],"issued":{"date-parts":[["2020",1,1]]}}}],"schema":"https://github.com/citation-style-language/schema/raw/master/csl-citation.json"} </w:instrText>
      </w:r>
      <w:r w:rsidR="005E1A57">
        <w:fldChar w:fldCharType="separate"/>
      </w:r>
      <w:r w:rsidR="005E1A57">
        <w:rPr>
          <w:noProof/>
        </w:rPr>
        <w:t>(Qiu et al., 2020; Rajmohan et al., 2022; Weldon et al., 2020)</w:t>
      </w:r>
      <w:r w:rsidR="005E1A57">
        <w:fldChar w:fldCharType="end"/>
      </w:r>
      <w:r>
        <w:t>.</w:t>
      </w:r>
    </w:p>
    <w:p w14:paraId="4FDAF49D" w14:textId="670D4BAA" w:rsidR="00A7417C" w:rsidRDefault="00A7417C" w:rsidP="00A7417C">
      <w:pPr>
        <w:spacing w:before="0" w:after="200" w:line="276" w:lineRule="auto"/>
      </w:pPr>
      <w:r>
        <w:br w:type="page"/>
      </w:r>
    </w:p>
    <w:p w14:paraId="5ED899D1" w14:textId="77777777" w:rsidR="00A7417C" w:rsidRDefault="00A7417C" w:rsidP="00A7417C">
      <w:pPr>
        <w:pStyle w:val="NoSpacing"/>
        <w:keepNext/>
      </w:pPr>
      <w:r>
        <w:rPr>
          <w:noProof/>
        </w:rPr>
        <w:lastRenderedPageBreak/>
        <w:drawing>
          <wp:inline distT="0" distB="0" distL="0" distR="0" wp14:anchorId="13B64D2F" wp14:editId="53BBC496">
            <wp:extent cx="6208395" cy="4998085"/>
            <wp:effectExtent l="0" t="0" r="190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08395" cy="4998085"/>
                    </a:xfrm>
                    <a:prstGeom prst="rect">
                      <a:avLst/>
                    </a:prstGeom>
                  </pic:spPr>
                </pic:pic>
              </a:graphicData>
            </a:graphic>
          </wp:inline>
        </w:drawing>
      </w:r>
    </w:p>
    <w:p w14:paraId="415426D3" w14:textId="31B1B43D" w:rsidR="00A7417C" w:rsidRDefault="00A7417C" w:rsidP="00A7417C">
      <w:pPr>
        <w:spacing w:before="0" w:after="200" w:line="276" w:lineRule="auto"/>
      </w:pPr>
      <w:r w:rsidRPr="00A7417C">
        <w:rPr>
          <w:b/>
        </w:rPr>
        <w:t>Figure S</w:t>
      </w:r>
      <w:r w:rsidR="00AC70C6">
        <w:rPr>
          <w:b/>
        </w:rPr>
        <w:t>1</w:t>
      </w:r>
      <w:r w:rsidR="001177DA">
        <w:rPr>
          <w:b/>
        </w:rPr>
        <w:t>3</w:t>
      </w:r>
      <w:r>
        <w:t xml:space="preserve">. </w:t>
      </w:r>
      <w:r w:rsidRPr="00FD6808">
        <w:t xml:space="preserve">Permutation test plots for the OPLS-DA model comparing the </w:t>
      </w:r>
      <w:r>
        <w:t>organic extracts of healthy (B1+B2)</w:t>
      </w:r>
      <w:r w:rsidRPr="00FD6808">
        <w:t xml:space="preserve"> and</w:t>
      </w:r>
      <w:r>
        <w:t xml:space="preserve"> infected (B3) crops</w:t>
      </w:r>
      <w:r w:rsidRPr="00FD6808">
        <w:t xml:space="preserve"> (R</w:t>
      </w:r>
      <w:r w:rsidRPr="00A7417C">
        <w:rPr>
          <w:vertAlign w:val="superscript"/>
        </w:rPr>
        <w:t>2</w:t>
      </w:r>
      <w:r w:rsidRPr="00FD6808">
        <w:t xml:space="preserve">Y = </w:t>
      </w:r>
      <w:r w:rsidR="00A10093">
        <w:t>0.98</w:t>
      </w:r>
      <w:r w:rsidRPr="00FD6808">
        <w:t xml:space="preserve"> and Q</w:t>
      </w:r>
      <w:r w:rsidRPr="00A7417C">
        <w:rPr>
          <w:vertAlign w:val="superscript"/>
        </w:rPr>
        <w:t>2</w:t>
      </w:r>
      <w:r w:rsidRPr="00FD6808">
        <w:t xml:space="preserve">Y = </w:t>
      </w:r>
      <w:r w:rsidR="00A10093">
        <w:t>0.91</w:t>
      </w:r>
      <w:r w:rsidRPr="00FD6808">
        <w:t>).</w:t>
      </w:r>
    </w:p>
    <w:p w14:paraId="59C11B3D" w14:textId="603EC68E" w:rsidR="00A7417C" w:rsidRDefault="00A7417C">
      <w:pPr>
        <w:spacing w:before="0" w:after="200" w:line="276" w:lineRule="auto"/>
      </w:pPr>
      <w:r>
        <w:br w:type="page"/>
      </w:r>
    </w:p>
    <w:p w14:paraId="61F29520" w14:textId="093D1D22" w:rsidR="00A7417C" w:rsidRDefault="00A7417C" w:rsidP="00A7417C">
      <w:pPr>
        <w:pStyle w:val="NoSpacing"/>
        <w:keepNext/>
      </w:pPr>
      <w:r>
        <w:rPr>
          <w:noProof/>
        </w:rPr>
        <w:lastRenderedPageBreak/>
        <w:drawing>
          <wp:inline distT="0" distB="0" distL="0" distR="0" wp14:anchorId="3C5D73CC" wp14:editId="68301F51">
            <wp:extent cx="6208395" cy="3787775"/>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208395" cy="3787775"/>
                    </a:xfrm>
                    <a:prstGeom prst="rect">
                      <a:avLst/>
                    </a:prstGeom>
                  </pic:spPr>
                </pic:pic>
              </a:graphicData>
            </a:graphic>
          </wp:inline>
        </w:drawing>
      </w:r>
    </w:p>
    <w:p w14:paraId="4AA78098" w14:textId="33A7BF88" w:rsidR="00A7417C" w:rsidRDefault="00A7417C" w:rsidP="00AC70C6">
      <w:pPr>
        <w:spacing w:before="240"/>
      </w:pPr>
      <w:r w:rsidRPr="00A7417C">
        <w:rPr>
          <w:b/>
        </w:rPr>
        <w:t>Figure S</w:t>
      </w:r>
      <w:r w:rsidR="00AC70C6">
        <w:rPr>
          <w:b/>
        </w:rPr>
        <w:t>1</w:t>
      </w:r>
      <w:r w:rsidR="001177DA">
        <w:rPr>
          <w:b/>
        </w:rPr>
        <w:t>4</w:t>
      </w:r>
      <w:r>
        <w:t xml:space="preserve">. </w:t>
      </w:r>
      <w:r w:rsidRPr="00FD6808">
        <w:t xml:space="preserve">ROC analysis curves derived from the OPLS-DA model comparing the </w:t>
      </w:r>
      <w:r>
        <w:t>organic extracts of healthy (B1+B2)</w:t>
      </w:r>
      <w:r w:rsidRPr="00FD6808">
        <w:t xml:space="preserve"> and</w:t>
      </w:r>
      <w:r>
        <w:t xml:space="preserve"> infected (B3) crops</w:t>
      </w:r>
      <w:r w:rsidRPr="00FD6808">
        <w:t xml:space="preserve"> (AUC = </w:t>
      </w:r>
      <w:r>
        <w:t>1</w:t>
      </w:r>
      <w:r w:rsidRPr="00FD6808">
        <w:t>.</w:t>
      </w:r>
      <w:r>
        <w:t>00</w:t>
      </w:r>
      <w:r w:rsidRPr="00FD6808">
        <w:t>).</w:t>
      </w:r>
      <w:r>
        <w:br w:type="page"/>
      </w:r>
    </w:p>
    <w:p w14:paraId="1386554B" w14:textId="77777777" w:rsidR="00A7417C" w:rsidRDefault="00A7417C" w:rsidP="00A7417C">
      <w:pPr>
        <w:pStyle w:val="NoSpacing"/>
        <w:keepNext/>
      </w:pPr>
      <w:r>
        <w:rPr>
          <w:noProof/>
        </w:rPr>
        <w:lastRenderedPageBreak/>
        <w:drawing>
          <wp:inline distT="0" distB="0" distL="0" distR="0" wp14:anchorId="6C023FE5" wp14:editId="2D5A26E8">
            <wp:extent cx="6208395" cy="4951730"/>
            <wp:effectExtent l="0" t="0" r="1905"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08395" cy="4951730"/>
                    </a:xfrm>
                    <a:prstGeom prst="rect">
                      <a:avLst/>
                    </a:prstGeom>
                  </pic:spPr>
                </pic:pic>
              </a:graphicData>
            </a:graphic>
          </wp:inline>
        </w:drawing>
      </w:r>
    </w:p>
    <w:p w14:paraId="54779EC0" w14:textId="4D01844A" w:rsidR="00A7417C" w:rsidRDefault="00A7417C" w:rsidP="00A7417C">
      <w:pPr>
        <w:spacing w:before="240"/>
      </w:pPr>
      <w:r w:rsidRPr="00A7417C">
        <w:rPr>
          <w:b/>
        </w:rPr>
        <w:t>Figure S1</w:t>
      </w:r>
      <w:r w:rsidR="001177DA">
        <w:rPr>
          <w:b/>
        </w:rPr>
        <w:t>5</w:t>
      </w:r>
      <w:r>
        <w:t xml:space="preserve">. </w:t>
      </w:r>
      <w:r w:rsidRPr="00FD6808">
        <w:t xml:space="preserve">Permutation test plots for the OPLS-DA model comparing the </w:t>
      </w:r>
      <w:r>
        <w:t>aqueous extracts of healthy (B1+B2)</w:t>
      </w:r>
      <w:r w:rsidRPr="00FD6808">
        <w:t xml:space="preserve"> and</w:t>
      </w:r>
      <w:r>
        <w:t xml:space="preserve"> infected (B3) crops</w:t>
      </w:r>
      <w:r w:rsidRPr="00FD6808">
        <w:t xml:space="preserve"> (R</w:t>
      </w:r>
      <w:r w:rsidRPr="00A7417C">
        <w:rPr>
          <w:vertAlign w:val="superscript"/>
        </w:rPr>
        <w:t>2</w:t>
      </w:r>
      <w:r w:rsidRPr="00FD6808">
        <w:t xml:space="preserve">Y = </w:t>
      </w:r>
      <w:r w:rsidR="003E1537">
        <w:t>0.99</w:t>
      </w:r>
      <w:r w:rsidRPr="00FD6808">
        <w:t xml:space="preserve"> and Q</w:t>
      </w:r>
      <w:r w:rsidRPr="00A7417C">
        <w:rPr>
          <w:vertAlign w:val="superscript"/>
        </w:rPr>
        <w:t>2</w:t>
      </w:r>
      <w:r w:rsidRPr="00FD6808">
        <w:t xml:space="preserve">Y = </w:t>
      </w:r>
      <w:r w:rsidR="003E1537">
        <w:t>0.98</w:t>
      </w:r>
      <w:r w:rsidRPr="00FD6808">
        <w:t>).</w:t>
      </w:r>
    </w:p>
    <w:p w14:paraId="1131ACBB" w14:textId="547E8C71" w:rsidR="00A7417C" w:rsidRDefault="00A7417C">
      <w:pPr>
        <w:spacing w:before="0" w:after="200" w:line="276" w:lineRule="auto"/>
      </w:pPr>
      <w:r>
        <w:br w:type="page"/>
      </w:r>
    </w:p>
    <w:p w14:paraId="722C0317" w14:textId="77777777" w:rsidR="00A7417C" w:rsidRDefault="00A7417C" w:rsidP="00A7417C">
      <w:pPr>
        <w:pStyle w:val="NoSpacing"/>
        <w:keepNext/>
      </w:pPr>
      <w:r>
        <w:rPr>
          <w:noProof/>
        </w:rPr>
        <w:lastRenderedPageBreak/>
        <w:drawing>
          <wp:inline distT="0" distB="0" distL="0" distR="0" wp14:anchorId="3F5D20CA" wp14:editId="72BFBB19">
            <wp:extent cx="6208395" cy="3981450"/>
            <wp:effectExtent l="0" t="0" r="1905"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08395" cy="3981450"/>
                    </a:xfrm>
                    <a:prstGeom prst="rect">
                      <a:avLst/>
                    </a:prstGeom>
                  </pic:spPr>
                </pic:pic>
              </a:graphicData>
            </a:graphic>
          </wp:inline>
        </w:drawing>
      </w:r>
    </w:p>
    <w:p w14:paraId="5C1A5447" w14:textId="13ABE186" w:rsidR="004474A3" w:rsidRDefault="00A7417C" w:rsidP="00A7417C">
      <w:pPr>
        <w:spacing w:before="240"/>
      </w:pPr>
      <w:r w:rsidRPr="00A7417C">
        <w:rPr>
          <w:b/>
        </w:rPr>
        <w:t>Figure S1</w:t>
      </w:r>
      <w:r w:rsidR="001177DA">
        <w:rPr>
          <w:b/>
        </w:rPr>
        <w:t>6</w:t>
      </w:r>
      <w:r>
        <w:t xml:space="preserve">. </w:t>
      </w:r>
      <w:r w:rsidRPr="00FD6808">
        <w:t xml:space="preserve">ROC analysis curves derived from the OPLS-DA model comparing the </w:t>
      </w:r>
      <w:r>
        <w:t>aqueous extracts of healthy (B1+B2)</w:t>
      </w:r>
      <w:r w:rsidRPr="00FD6808">
        <w:t xml:space="preserve"> and</w:t>
      </w:r>
      <w:r>
        <w:t xml:space="preserve"> infected (B3) crops</w:t>
      </w:r>
      <w:r w:rsidRPr="00FD6808">
        <w:t xml:space="preserve"> (AUC = </w:t>
      </w:r>
      <w:r>
        <w:t>1</w:t>
      </w:r>
      <w:r w:rsidRPr="00FD6808">
        <w:t>.</w:t>
      </w:r>
      <w:r>
        <w:t>00</w:t>
      </w:r>
      <w:r w:rsidRPr="00FD6808">
        <w:t>).</w:t>
      </w:r>
    </w:p>
    <w:p w14:paraId="29048C30" w14:textId="535E0AAA" w:rsidR="005E1A57" w:rsidRDefault="60112AF2" w:rsidP="005E1A57">
      <w:pPr>
        <w:spacing w:before="240"/>
        <w:rPr>
          <w:rFonts w:eastAsia="Calibri"/>
          <w:szCs w:val="24"/>
        </w:rPr>
      </w:pPr>
      <w:r w:rsidRPr="60112AF2">
        <w:rPr>
          <w:b/>
          <w:bCs/>
        </w:rPr>
        <w:t>References</w:t>
      </w:r>
    </w:p>
    <w:p w14:paraId="7E3FC9C5" w14:textId="77777777" w:rsidR="005E1A57" w:rsidRPr="005E1A57" w:rsidRDefault="005E1A57" w:rsidP="005E1A57">
      <w:pPr>
        <w:pStyle w:val="Bibliography"/>
        <w:rPr>
          <w:rFonts w:cs="Times New Roman"/>
        </w:rPr>
      </w:pPr>
      <w:r>
        <w:rPr>
          <w:rFonts w:eastAsia="Calibri"/>
          <w:szCs w:val="24"/>
        </w:rPr>
        <w:fldChar w:fldCharType="begin"/>
      </w:r>
      <w:r>
        <w:rPr>
          <w:rFonts w:eastAsia="Calibri"/>
          <w:szCs w:val="24"/>
        </w:rPr>
        <w:instrText xml:space="preserve"> ADDIN ZOTERO_BIBL {"uncited":[],"omitted":[],"custom":[]} CSL_BIBLIOGRAPHY </w:instrText>
      </w:r>
      <w:r>
        <w:rPr>
          <w:rFonts w:eastAsia="Calibri"/>
          <w:szCs w:val="24"/>
        </w:rPr>
        <w:fldChar w:fldCharType="separate"/>
      </w:r>
      <w:r w:rsidRPr="005E1A57">
        <w:rPr>
          <w:rFonts w:cs="Times New Roman"/>
        </w:rPr>
        <w:t xml:space="preserve">Brochu, A.-S., Labbé, C., Bélanger, R., Pérez-López, E., 2022. First Report of Powdery Mildew Caused by </w:t>
      </w:r>
      <w:r w:rsidRPr="005E1A57">
        <w:rPr>
          <w:rFonts w:cs="Times New Roman"/>
          <w:i/>
          <w:iCs/>
        </w:rPr>
        <w:t>Golovinomyces ambrosiae</w:t>
      </w:r>
      <w:r w:rsidRPr="005E1A57">
        <w:rPr>
          <w:rFonts w:cs="Times New Roman"/>
        </w:rPr>
        <w:t xml:space="preserve"> on </w:t>
      </w:r>
      <w:r w:rsidRPr="005E1A57">
        <w:rPr>
          <w:rFonts w:cs="Times New Roman"/>
          <w:i/>
          <w:iCs/>
        </w:rPr>
        <w:t>Cannabis sativa</w:t>
      </w:r>
      <w:r w:rsidRPr="005E1A57">
        <w:rPr>
          <w:rFonts w:cs="Times New Roman"/>
        </w:rPr>
        <w:t xml:space="preserve"> (Marijuana) in Quebec, Canada. Plant Dis. 106, 2747. https://doi.org/10.1094/PDIS-02-22-0350-PDN</w:t>
      </w:r>
    </w:p>
    <w:p w14:paraId="2FFFA347" w14:textId="77777777" w:rsidR="00207FBB" w:rsidRPr="00C74A4C" w:rsidRDefault="00207FBB" w:rsidP="00207FBB">
      <w:pPr>
        <w:pStyle w:val="Bibliography"/>
        <w:rPr>
          <w:rFonts w:cs="Times New Roman"/>
          <w:lang w:val="es-UY"/>
        </w:rPr>
      </w:pPr>
      <w:proofErr w:type="spellStart"/>
      <w:r w:rsidRPr="00F57CA2">
        <w:rPr>
          <w:rFonts w:cs="Times New Roman"/>
        </w:rPr>
        <w:t>Cloarec</w:t>
      </w:r>
      <w:proofErr w:type="spellEnd"/>
      <w:r w:rsidRPr="00F57CA2">
        <w:rPr>
          <w:rFonts w:cs="Times New Roman"/>
        </w:rPr>
        <w:t xml:space="preserve">, O., Dumas, M.-E., Craig, A., Barton, R.H., </w:t>
      </w:r>
      <w:proofErr w:type="spellStart"/>
      <w:r w:rsidRPr="00F57CA2">
        <w:rPr>
          <w:rFonts w:cs="Times New Roman"/>
        </w:rPr>
        <w:t>Trygg</w:t>
      </w:r>
      <w:proofErr w:type="spellEnd"/>
      <w:r w:rsidRPr="00F57CA2">
        <w:rPr>
          <w:rFonts w:cs="Times New Roman"/>
        </w:rPr>
        <w:t xml:space="preserve">, J., Hudson, J., Blancher, C., </w:t>
      </w:r>
      <w:proofErr w:type="spellStart"/>
      <w:r w:rsidRPr="00F57CA2">
        <w:rPr>
          <w:rFonts w:cs="Times New Roman"/>
        </w:rPr>
        <w:t>Gauguier</w:t>
      </w:r>
      <w:proofErr w:type="spellEnd"/>
      <w:r w:rsidRPr="00F57CA2">
        <w:rPr>
          <w:rFonts w:cs="Times New Roman"/>
        </w:rPr>
        <w:t xml:space="preserve">, D., Lindon, J.C., Holmes, E., Nicholson, J., 2005. Statistical Total Correlation Spectroscopy:  An Exploratory Approach for Latent Biomarker Identification from Metabolic </w:t>
      </w:r>
      <w:r w:rsidRPr="00C74A4C">
        <w:rPr>
          <w:rFonts w:cs="Times New Roman"/>
          <w:vertAlign w:val="superscript"/>
        </w:rPr>
        <w:t>1</w:t>
      </w:r>
      <w:r w:rsidRPr="00F57CA2">
        <w:rPr>
          <w:rFonts w:cs="Times New Roman"/>
        </w:rPr>
        <w:t xml:space="preserve">H NMR Data Sets. </w:t>
      </w:r>
      <w:r w:rsidRPr="00C74A4C">
        <w:rPr>
          <w:rFonts w:cs="Times New Roman"/>
          <w:lang w:val="es-UY"/>
        </w:rPr>
        <w:t>Anal. Chem. 77, 1282–1289. https://doi.org/10.1021/ac048630x</w:t>
      </w:r>
    </w:p>
    <w:p w14:paraId="702C7BB5" w14:textId="6EB4B59A" w:rsidR="005E1A57" w:rsidRPr="005E1A57" w:rsidRDefault="005E1A57" w:rsidP="005E1A57">
      <w:pPr>
        <w:pStyle w:val="Bibliography"/>
        <w:rPr>
          <w:rFonts w:cs="Times New Roman"/>
        </w:rPr>
      </w:pPr>
      <w:r w:rsidRPr="005E1A57">
        <w:rPr>
          <w:rFonts w:cs="Times New Roman"/>
        </w:rPr>
        <w:t xml:space="preserve">Pépin, N., Punja, Z.K., Joly, D.L., 2018. Occurrence of Powdery Mildew Caused by </w:t>
      </w:r>
      <w:r w:rsidRPr="005E1A57">
        <w:rPr>
          <w:rFonts w:cs="Times New Roman"/>
          <w:i/>
          <w:iCs/>
        </w:rPr>
        <w:t>Golovinomyces cichoracearum sensu lato</w:t>
      </w:r>
      <w:r w:rsidRPr="005E1A57">
        <w:rPr>
          <w:rFonts w:cs="Times New Roman"/>
        </w:rPr>
        <w:t xml:space="preserve"> on </w:t>
      </w:r>
      <w:r w:rsidRPr="005E1A57">
        <w:rPr>
          <w:rFonts w:cs="Times New Roman"/>
          <w:i/>
          <w:iCs/>
        </w:rPr>
        <w:t>Cannabis sativa</w:t>
      </w:r>
      <w:r w:rsidRPr="005E1A57">
        <w:rPr>
          <w:rFonts w:cs="Times New Roman"/>
        </w:rPr>
        <w:t xml:space="preserve"> in Canada. Plant Dis. 102, 2644–2644. https://doi.org/10.1094/PDIS-04-18-0586-PDN</w:t>
      </w:r>
    </w:p>
    <w:p w14:paraId="7592B361" w14:textId="77777777" w:rsidR="005E1A57" w:rsidRPr="005E1A57" w:rsidRDefault="005E1A57" w:rsidP="005E1A57">
      <w:pPr>
        <w:pStyle w:val="Bibliography"/>
        <w:rPr>
          <w:rFonts w:cs="Times New Roman"/>
        </w:rPr>
      </w:pPr>
      <w:r w:rsidRPr="005E1A57">
        <w:rPr>
          <w:rFonts w:cs="Times New Roman"/>
        </w:rPr>
        <w:t>Punja, Z.K., Collyer, D., Scott, C., Lung, S., Holmes, J., Sutton, D., 2019. Pathogens and Molds Affecting Production and Quality of Cannabis sativa L. Front. Plant Sci. 10.</w:t>
      </w:r>
    </w:p>
    <w:p w14:paraId="17F88E58" w14:textId="77777777" w:rsidR="005E1A57" w:rsidRPr="005E1A57" w:rsidRDefault="005E1A57" w:rsidP="005E1A57">
      <w:pPr>
        <w:pStyle w:val="Bibliography"/>
        <w:rPr>
          <w:rFonts w:cs="Times New Roman"/>
        </w:rPr>
      </w:pPr>
      <w:r w:rsidRPr="005E1A57">
        <w:rPr>
          <w:rFonts w:cs="Times New Roman"/>
        </w:rPr>
        <w:t>Qiu, P.-L., Liu, S.-Y., Bradshaw, M., Rooney-Latham, S., Takamatsu, S., Bulgakov, T.S., Tang, S.-R., Feng, J., Jin, D.-N., Aroge, T., Li, Y., Wang, L.-L., Braun, U., 2020. Multi-locus phylogeny and taxonomy of an unresolved, heterogeneous species complex within the genus Golovinomyces (Ascomycota, Erysiphales), including G. ambrosiae, G. circumfusus and G. spadiceus. BMC Microbiol. 20, 51. https://doi.org/10.1186/s12866-020-01731-9</w:t>
      </w:r>
    </w:p>
    <w:p w14:paraId="3579946B" w14:textId="77777777" w:rsidR="005E1A57" w:rsidRPr="005E1A57" w:rsidRDefault="005E1A57" w:rsidP="005E1A57">
      <w:pPr>
        <w:pStyle w:val="Bibliography"/>
        <w:rPr>
          <w:rFonts w:cs="Times New Roman"/>
        </w:rPr>
      </w:pPr>
      <w:r w:rsidRPr="005E1A57">
        <w:rPr>
          <w:rFonts w:cs="Times New Roman"/>
        </w:rPr>
        <w:lastRenderedPageBreak/>
        <w:t xml:space="preserve">Rajmohan, N., Price, D.C., Buckley, R.J., Komar, S.J., Bamka, W.J., Petit, E.A., Cabrera, R.I., Gianfagna, T.J., Simon, J.E., Wyenandt, C.A., 2022. First Report of Powdery Mildew Caused by </w:t>
      </w:r>
      <w:r w:rsidRPr="005E1A57">
        <w:rPr>
          <w:rFonts w:cs="Times New Roman"/>
          <w:i/>
          <w:iCs/>
        </w:rPr>
        <w:t>Golovinomyces ambrosiae</w:t>
      </w:r>
      <w:r w:rsidRPr="005E1A57">
        <w:rPr>
          <w:rFonts w:cs="Times New Roman"/>
        </w:rPr>
        <w:t xml:space="preserve"> on Industrial Hemp in New Jersey. Plant Dis. 106, 2534. https://doi.org/10.1094/PDIS-12-21-2657-PDN</w:t>
      </w:r>
    </w:p>
    <w:p w14:paraId="143FAD88" w14:textId="77777777" w:rsidR="005E1A57" w:rsidRPr="005E1A57" w:rsidRDefault="005E1A57" w:rsidP="005E1A57">
      <w:pPr>
        <w:pStyle w:val="Bibliography"/>
        <w:rPr>
          <w:rFonts w:cs="Times New Roman"/>
        </w:rPr>
      </w:pPr>
      <w:r w:rsidRPr="005E1A57">
        <w:rPr>
          <w:rFonts w:cs="Times New Roman"/>
        </w:rPr>
        <w:t xml:space="preserve">Szarka, D., Tymon, L., Amsden, B., Dixon, E., Judy, J., Gauthier, N., 2019. First Report of Powdery Mildew Caused by </w:t>
      </w:r>
      <w:r w:rsidRPr="005E1A57">
        <w:rPr>
          <w:rFonts w:cs="Times New Roman"/>
          <w:i/>
          <w:iCs/>
        </w:rPr>
        <w:t>Golovinomyces spadiceus</w:t>
      </w:r>
      <w:r w:rsidRPr="005E1A57">
        <w:rPr>
          <w:rFonts w:cs="Times New Roman"/>
        </w:rPr>
        <w:t xml:space="preserve"> on Industrial Hemp ( </w:t>
      </w:r>
      <w:r w:rsidRPr="005E1A57">
        <w:rPr>
          <w:rFonts w:cs="Times New Roman"/>
          <w:i/>
          <w:iCs/>
        </w:rPr>
        <w:t>Cannabis sativa</w:t>
      </w:r>
      <w:r w:rsidRPr="005E1A57">
        <w:rPr>
          <w:rFonts w:cs="Times New Roman"/>
        </w:rPr>
        <w:t xml:space="preserve"> ) in Kentucky. Plant Dis. 103, 1773–1773. https://doi.org/10.1094/PDIS-01-19-0049-PDN</w:t>
      </w:r>
    </w:p>
    <w:p w14:paraId="69F0FA05" w14:textId="77777777" w:rsidR="005E1A57" w:rsidRPr="005E1A57" w:rsidRDefault="005E1A57" w:rsidP="005E1A57">
      <w:pPr>
        <w:pStyle w:val="Bibliography"/>
        <w:rPr>
          <w:rFonts w:cs="Times New Roman"/>
        </w:rPr>
      </w:pPr>
      <w:r w:rsidRPr="005E1A57">
        <w:rPr>
          <w:rFonts w:cs="Times New Roman"/>
        </w:rPr>
        <w:t xml:space="preserve">Weldon, W.A., Ullrich, M.R., Smart, L.B., Smart, C.D., Gadoury, D.M., 2020. Cross-Infectivity of Powdery Mildew Isolates Originating from Hemp ( </w:t>
      </w:r>
      <w:r w:rsidRPr="005E1A57">
        <w:rPr>
          <w:rFonts w:cs="Times New Roman"/>
          <w:i/>
          <w:iCs/>
        </w:rPr>
        <w:t>Cannabis sativa</w:t>
      </w:r>
      <w:r w:rsidRPr="005E1A57">
        <w:rPr>
          <w:rFonts w:cs="Times New Roman"/>
        </w:rPr>
        <w:t xml:space="preserve"> ) and Japanese Hop ( </w:t>
      </w:r>
      <w:r w:rsidRPr="005E1A57">
        <w:rPr>
          <w:rFonts w:cs="Times New Roman"/>
          <w:i/>
          <w:iCs/>
        </w:rPr>
        <w:t>Humulus japonicus</w:t>
      </w:r>
      <w:r w:rsidRPr="005E1A57">
        <w:rPr>
          <w:rFonts w:cs="Times New Roman"/>
        </w:rPr>
        <w:t xml:space="preserve"> ) in New York. Plant Health Prog. 21, 47–53. https://doi.org/10.1094/PHP-09-19-0067-RS</w:t>
      </w:r>
    </w:p>
    <w:p w14:paraId="60050E2B" w14:textId="572D7C56" w:rsidR="004474A3" w:rsidRDefault="005E1A57" w:rsidP="60112AF2">
      <w:pPr>
        <w:spacing w:before="240"/>
        <w:rPr>
          <w:rFonts w:eastAsia="Calibri"/>
          <w:szCs w:val="24"/>
        </w:rPr>
      </w:pPr>
      <w:r>
        <w:rPr>
          <w:rFonts w:eastAsia="Calibri"/>
          <w:szCs w:val="24"/>
        </w:rPr>
        <w:fldChar w:fldCharType="end"/>
      </w:r>
    </w:p>
    <w:sectPr w:rsidR="004474A3" w:rsidSect="0093429D">
      <w:headerReference w:type="even" r:id="rId24"/>
      <w:footerReference w:type="even" r:id="rId25"/>
      <w:footerReference w:type="default" r:id="rId26"/>
      <w:headerReference w:type="first" r:id="rId27"/>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40EAFA" w14:textId="77777777" w:rsidR="00A017DD" w:rsidRDefault="00A017DD" w:rsidP="00117666">
      <w:pPr>
        <w:spacing w:after="0"/>
      </w:pPr>
      <w:r>
        <w:separator/>
      </w:r>
    </w:p>
  </w:endnote>
  <w:endnote w:type="continuationSeparator" w:id="0">
    <w:p w14:paraId="68DC5389" w14:textId="77777777" w:rsidR="00A017DD" w:rsidRDefault="00A017DD"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93025F" w14:textId="77777777" w:rsidR="00995F6A" w:rsidRPr="00577C4C" w:rsidRDefault="00C52A7B">
    <w:pPr>
      <w:rPr>
        <w:color w:val="C00000"/>
        <w:szCs w:val="24"/>
      </w:rPr>
    </w:pPr>
    <w:r>
      <w:rPr>
        <w:noProof/>
        <w:lang w:val="en-GB" w:eastAsia="en-GB"/>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82EAD14"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&#13;&#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2B4A57">
                      <w:rPr>
                        <w:noProof/>
                        <w:color w:val="000000" w:themeColor="text1"/>
                        <w:szCs w:val="40"/>
                      </w:rPr>
                      <w:t>2</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D6A35" w14:textId="77777777" w:rsidR="00995F6A" w:rsidRPr="00577C4C" w:rsidRDefault="00C52A7B">
    <w:pPr>
      <w:rPr>
        <w:b/>
        <w:sz w:val="20"/>
        <w:szCs w:val="24"/>
      </w:rPr>
    </w:pPr>
    <w:r>
      <w:rPr>
        <w:noProof/>
        <w:lang w:val="en-GB" w:eastAsia="en-GB"/>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70F9F55F"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&#13;&#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994A3D">
                      <w:rPr>
                        <w:noProof/>
                        <w:color w:val="000000" w:themeColor="text1"/>
                        <w:szCs w:val="40"/>
                      </w:rPr>
                      <w:t>3</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C4C287" w14:textId="77777777" w:rsidR="00A017DD" w:rsidRDefault="00A017DD" w:rsidP="00117666">
      <w:pPr>
        <w:spacing w:after="0"/>
      </w:pPr>
      <w:r>
        <w:separator/>
      </w:r>
    </w:p>
  </w:footnote>
  <w:footnote w:type="continuationSeparator" w:id="0">
    <w:p w14:paraId="01D69FD8" w14:textId="77777777" w:rsidR="00A017DD" w:rsidRDefault="00A017DD" w:rsidP="00117666">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D68C6" w14:textId="77777777" w:rsidR="00995F6A" w:rsidRDefault="0093429D" w:rsidP="0093429D">
    <w:r w:rsidRPr="005A1D84">
      <w:rPr>
        <w:b/>
        <w:noProof/>
        <w:color w:val="A6A6A6" w:themeColor="background1" w:themeShade="A6"/>
        <w:lang w:val="en-GB" w:eastAsia="en-GB"/>
      </w:rPr>
      <w:drawing>
        <wp:inline distT="0" distB="0" distL="0" distR="0" wp14:anchorId="07D26A56" wp14:editId="2E460F0E">
          <wp:extent cx="1382534" cy="497091"/>
          <wp:effectExtent l="0" t="0" r="0" b="0"/>
          <wp:docPr id="6" name="Picture 6"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15:restartNumberingAfterBreak="0">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16cid:durableId="703746917">
    <w:abstractNumId w:val="0"/>
  </w:num>
  <w:num w:numId="2" w16cid:durableId="468285031">
    <w:abstractNumId w:val="4"/>
  </w:num>
  <w:num w:numId="3" w16cid:durableId="1789005450">
    <w:abstractNumId w:val="1"/>
  </w:num>
  <w:num w:numId="4" w16cid:durableId="332880200">
    <w:abstractNumId w:val="5"/>
  </w:num>
  <w:num w:numId="5" w16cid:durableId="5163902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329678693">
    <w:abstractNumId w:val="3"/>
  </w:num>
  <w:num w:numId="7" w16cid:durableId="231165295">
    <w:abstractNumId w:val="6"/>
  </w:num>
  <w:num w:numId="8" w16cid:durableId="1427387787">
    <w:abstractNumId w:val="6"/>
  </w:num>
  <w:num w:numId="9" w16cid:durableId="46806497">
    <w:abstractNumId w:val="6"/>
  </w:num>
  <w:num w:numId="10" w16cid:durableId="112865643">
    <w:abstractNumId w:val="6"/>
  </w:num>
  <w:num w:numId="11" w16cid:durableId="527067634">
    <w:abstractNumId w:val="6"/>
  </w:num>
  <w:num w:numId="12" w16cid:durableId="131364964">
    <w:abstractNumId w:val="6"/>
  </w:num>
  <w:num w:numId="13" w16cid:durableId="295187775">
    <w:abstractNumId w:val="3"/>
  </w:num>
  <w:num w:numId="14" w16cid:durableId="1952584268">
    <w:abstractNumId w:val="2"/>
  </w:num>
  <w:num w:numId="15" w16cid:durableId="65033009">
    <w:abstractNumId w:val="2"/>
  </w:num>
  <w:num w:numId="16" w16cid:durableId="1331829207">
    <w:abstractNumId w:val="2"/>
  </w:num>
  <w:num w:numId="17" w16cid:durableId="738216367">
    <w:abstractNumId w:val="2"/>
  </w:num>
  <w:num w:numId="18" w16cid:durableId="804196769">
    <w:abstractNumId w:val="2"/>
  </w:num>
  <w:num w:numId="19" w16cid:durableId="83148352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attachedTemplate r:id="rId1"/>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0B5"/>
    <w:rsid w:val="00003242"/>
    <w:rsid w:val="00005E4E"/>
    <w:rsid w:val="0001436A"/>
    <w:rsid w:val="00021365"/>
    <w:rsid w:val="00025572"/>
    <w:rsid w:val="0002618F"/>
    <w:rsid w:val="00034304"/>
    <w:rsid w:val="00035434"/>
    <w:rsid w:val="00042604"/>
    <w:rsid w:val="00052A14"/>
    <w:rsid w:val="00077892"/>
    <w:rsid w:val="00077D53"/>
    <w:rsid w:val="00085644"/>
    <w:rsid w:val="000A37B7"/>
    <w:rsid w:val="000B0F61"/>
    <w:rsid w:val="000D4B94"/>
    <w:rsid w:val="000E3C8A"/>
    <w:rsid w:val="000F20BB"/>
    <w:rsid w:val="00105FD9"/>
    <w:rsid w:val="00117666"/>
    <w:rsid w:val="001177DA"/>
    <w:rsid w:val="001325C8"/>
    <w:rsid w:val="0013266A"/>
    <w:rsid w:val="001549D3"/>
    <w:rsid w:val="00160065"/>
    <w:rsid w:val="00177D84"/>
    <w:rsid w:val="001A1C67"/>
    <w:rsid w:val="001A2628"/>
    <w:rsid w:val="001F5001"/>
    <w:rsid w:val="00207FBB"/>
    <w:rsid w:val="00252E43"/>
    <w:rsid w:val="00253E22"/>
    <w:rsid w:val="00267D18"/>
    <w:rsid w:val="00274347"/>
    <w:rsid w:val="002868E2"/>
    <w:rsid w:val="002869C3"/>
    <w:rsid w:val="002936E4"/>
    <w:rsid w:val="002B4A57"/>
    <w:rsid w:val="002C6CD8"/>
    <w:rsid w:val="002C74CA"/>
    <w:rsid w:val="00300534"/>
    <w:rsid w:val="003123F4"/>
    <w:rsid w:val="00342630"/>
    <w:rsid w:val="00345435"/>
    <w:rsid w:val="003544FB"/>
    <w:rsid w:val="0035796D"/>
    <w:rsid w:val="003D2F2D"/>
    <w:rsid w:val="003E1537"/>
    <w:rsid w:val="003E4E6C"/>
    <w:rsid w:val="003E5275"/>
    <w:rsid w:val="00401590"/>
    <w:rsid w:val="004129C6"/>
    <w:rsid w:val="004474A3"/>
    <w:rsid w:val="00447801"/>
    <w:rsid w:val="00452E9C"/>
    <w:rsid w:val="004735C8"/>
    <w:rsid w:val="004947A6"/>
    <w:rsid w:val="004948FA"/>
    <w:rsid w:val="004961FF"/>
    <w:rsid w:val="004C2B2C"/>
    <w:rsid w:val="00515C69"/>
    <w:rsid w:val="00517A89"/>
    <w:rsid w:val="005250F2"/>
    <w:rsid w:val="00556846"/>
    <w:rsid w:val="00563080"/>
    <w:rsid w:val="00577DC4"/>
    <w:rsid w:val="00585942"/>
    <w:rsid w:val="00593EEA"/>
    <w:rsid w:val="00597C27"/>
    <w:rsid w:val="005A5EEE"/>
    <w:rsid w:val="005E1A57"/>
    <w:rsid w:val="006375C7"/>
    <w:rsid w:val="0064753A"/>
    <w:rsid w:val="00653390"/>
    <w:rsid w:val="00654E8F"/>
    <w:rsid w:val="00660D05"/>
    <w:rsid w:val="00666437"/>
    <w:rsid w:val="00673E73"/>
    <w:rsid w:val="006820B1"/>
    <w:rsid w:val="00685636"/>
    <w:rsid w:val="00690F71"/>
    <w:rsid w:val="006B7D14"/>
    <w:rsid w:val="006C5824"/>
    <w:rsid w:val="00701727"/>
    <w:rsid w:val="0070566C"/>
    <w:rsid w:val="00714C50"/>
    <w:rsid w:val="00725A7D"/>
    <w:rsid w:val="007501BE"/>
    <w:rsid w:val="007561B8"/>
    <w:rsid w:val="00790BB3"/>
    <w:rsid w:val="007C206C"/>
    <w:rsid w:val="00802BEE"/>
    <w:rsid w:val="00817DD6"/>
    <w:rsid w:val="00827081"/>
    <w:rsid w:val="0083759F"/>
    <w:rsid w:val="008542DF"/>
    <w:rsid w:val="00880271"/>
    <w:rsid w:val="00885156"/>
    <w:rsid w:val="00887755"/>
    <w:rsid w:val="009151AA"/>
    <w:rsid w:val="0093429D"/>
    <w:rsid w:val="00943573"/>
    <w:rsid w:val="00964134"/>
    <w:rsid w:val="00970F7D"/>
    <w:rsid w:val="00994A3D"/>
    <w:rsid w:val="009C2B12"/>
    <w:rsid w:val="00A017DD"/>
    <w:rsid w:val="00A10093"/>
    <w:rsid w:val="00A174D9"/>
    <w:rsid w:val="00A7417C"/>
    <w:rsid w:val="00AA4D24"/>
    <w:rsid w:val="00AB6715"/>
    <w:rsid w:val="00AC702B"/>
    <w:rsid w:val="00AC70C6"/>
    <w:rsid w:val="00AD09AB"/>
    <w:rsid w:val="00AF38EB"/>
    <w:rsid w:val="00B1671E"/>
    <w:rsid w:val="00B1718D"/>
    <w:rsid w:val="00B25EB8"/>
    <w:rsid w:val="00B37F4D"/>
    <w:rsid w:val="00BB46B5"/>
    <w:rsid w:val="00BD4B8A"/>
    <w:rsid w:val="00C420AA"/>
    <w:rsid w:val="00C52A7B"/>
    <w:rsid w:val="00C56BAF"/>
    <w:rsid w:val="00C679AA"/>
    <w:rsid w:val="00C73215"/>
    <w:rsid w:val="00C74D00"/>
    <w:rsid w:val="00C75972"/>
    <w:rsid w:val="00CB1194"/>
    <w:rsid w:val="00CD066B"/>
    <w:rsid w:val="00CD181A"/>
    <w:rsid w:val="00CD6375"/>
    <w:rsid w:val="00CE4FEE"/>
    <w:rsid w:val="00D0073F"/>
    <w:rsid w:val="00D060CF"/>
    <w:rsid w:val="00D075A0"/>
    <w:rsid w:val="00D105D9"/>
    <w:rsid w:val="00D35460"/>
    <w:rsid w:val="00D55BFC"/>
    <w:rsid w:val="00DB59C3"/>
    <w:rsid w:val="00DC259A"/>
    <w:rsid w:val="00DE23E8"/>
    <w:rsid w:val="00DF0BB6"/>
    <w:rsid w:val="00E413F5"/>
    <w:rsid w:val="00E4489C"/>
    <w:rsid w:val="00E52377"/>
    <w:rsid w:val="00E537AD"/>
    <w:rsid w:val="00E64E17"/>
    <w:rsid w:val="00E76D2F"/>
    <w:rsid w:val="00E866C9"/>
    <w:rsid w:val="00EA3D3C"/>
    <w:rsid w:val="00EC090A"/>
    <w:rsid w:val="00ED20B5"/>
    <w:rsid w:val="00EF4B98"/>
    <w:rsid w:val="00F12F9D"/>
    <w:rsid w:val="00F33A68"/>
    <w:rsid w:val="00F46900"/>
    <w:rsid w:val="00F61D89"/>
    <w:rsid w:val="00F6407B"/>
    <w:rsid w:val="00F74306"/>
    <w:rsid w:val="00FF6E8D"/>
    <w:rsid w:val="60112AF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6DB94A"/>
  <w15:docId w15:val="{88748FF8-5D22-488D-A39B-60AD93690E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paragraph" w:styleId="Bibliography">
    <w:name w:val="Bibliography"/>
    <w:basedOn w:val="Normal"/>
    <w:next w:val="Normal"/>
    <w:uiPriority w:val="37"/>
    <w:unhideWhenUsed/>
    <w:rsid w:val="008542DF"/>
    <w:pPr>
      <w:spacing w:after="0"/>
      <w:ind w:left="720" w:hanging="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jpeg"/><Relationship Id="rId28"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5.jpeg"/><Relationship Id="rId27"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A095F8CC-9D3A-B846-AEA6-FBA7348574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C:\Users\joshua.stocco\Documents\Templates\Frontiers_Word_Templates\Supplementary_Material.dotx</Template>
  <TotalTime>202</TotalTime>
  <Pages>18</Pages>
  <Words>3215</Words>
  <Characters>18331</Characters>
  <Application>Microsoft Office Word</Application>
  <DocSecurity>0</DocSecurity>
  <Lines>152</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Frontiers Media SA</dc:creator>
  <cp:lastModifiedBy>Guillermo Moyna</cp:lastModifiedBy>
  <cp:revision>30</cp:revision>
  <cp:lastPrinted>2013-10-03T12:51:00Z</cp:lastPrinted>
  <dcterms:created xsi:type="dcterms:W3CDTF">2022-11-15T14:53:00Z</dcterms:created>
  <dcterms:modified xsi:type="dcterms:W3CDTF">2023-02-02T14:36:00Z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zotero-version="6.0.17"&gt;&lt;session id="FZyrzDO7"/&gt;&lt;style id="http://www.zotero.org/styles/elsevier-harvard" hasBibliography="1" bibliographyStyleHasBeenSet="1"/&gt;&lt;prefs&gt;&lt;pref name="fieldType" value="Field"/&gt;&lt;pref name="automaticJournal</vt:lpwstr>
  </property>
  <property fmtid="{D5CDD505-2E9C-101B-9397-08002B2CF9AE}" pid="3" name="ZOTERO_PREF_2">
    <vt:lpwstr>Abbreviations" value="true"/&gt;&lt;/prefs&gt;&lt;/data&gt;</vt:lpwstr>
  </property>
</Properties>
</file>